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736"/>
        <w:gridCol w:w="1193"/>
        <w:gridCol w:w="2600"/>
        <w:gridCol w:w="2770"/>
        <w:gridCol w:w="2504"/>
        <w:gridCol w:w="2592"/>
        <w:gridCol w:w="2537"/>
        <w:gridCol w:w="2963"/>
      </w:tblGrid>
      <w:tr>
        <w:trPr>
          <w:trHeight w:val="554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3. Assay Performance Metrics by Result (valid tests only)</w:t>
            </w:r>
          </w:p>
        </w:tc>
      </w:tr>
      <w:tr>
        <w:trPr>
          <w:trHeight w:val="554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Assay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Result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Fluid Vol (mL) Median [IQR]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DNA Conc (ng/µL) Median [IQR]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DNA Used (ng) Median [IQR]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Average Internal VAF % (n)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Specimen Type: Blood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Specimen Type: Cyst Fluid n (%)</w:t>
            </w:r>
          </w:p>
        </w:tc>
      </w:tr>
      <w:tr>
        <w:trPr>
          <w:trHeight w:val="562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PIK3CA Multiplex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(32.8%)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 [5.8–9.8]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[1.3–20.9]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39.7 [31.8–60.0]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9.18% (n=39)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(5.1%)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(89.7%)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p.E542K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(35.9%)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 [5.2–8.5]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 [0.8–7.5]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 [22.5–60.0]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6.31% (n=14)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(85.7%)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p.E545K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(43.6%)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 [6.8–12.2]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 [3.1–26.0]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57.0 [35.9–60.0]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14.17% (n=17)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(100.0%)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p.H1047R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(20.5%)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[3.0–9.5]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 [2.1–8.8]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 [33.5–55.1]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3.61% (n=8)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(12.5%)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(75.0%)</w:t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 (67.2%)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 [4.8–10.2]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[0.9–36.5]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 [21.9–60.0]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(40.0%)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(58.8%)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p-value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0.641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0.788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0.930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&lt;0.001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 (p.L914F)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 [4.0–11.0]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 [0.2–1.8]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 [6.1–48.0]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7.48% (n=5)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(100.0%)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 [8.6–10.2]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 [0.6–2.1]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53.3 [16.3–56.1]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(100.0%)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p-value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0.885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0.402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0.210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 (p.V600E)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18.5 [18.5–18.5]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59.0 [59.0–59.0]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60.0 [60.0–60.0]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12.00% (n=1)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(100.0%)</w:t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(83.3%)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 [5.0–10.0]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 [9.3–142.0]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57.8 [50.5–64.5]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(40.0%)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(60.0%)</w:t>
            </w:r>
          </w:p>
        </w:tc>
      </w:tr>
      <w:tr>
        <w:trPr>
          <w:trHeight w:val="55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—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IQR = interquartile range. VAF = variant allele frequency. Continuous metrics reported as Median [IQR]; VAF reported as mean (n contributing). Specimen type breakdown reflects tests within each result group. p-values: Mann-Whitney U test for continuous variables; Fisher's exact test for specimen type (Blood vs Cyst Fluid). VAF not statistically compared (negatives have no detected variant by definition). PIK3CA variant sub-row percentages are of PIK3CA Positive tests.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2026-05-26T13:55:48Z</dcterms:modified>
  <cp:category/>
</cp:coreProperties>
</file>