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69"/>
        <w:gridCol w:w="1389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4. Clinical Impact of Test Results (Total patients assessed, N = 39)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Clinical Action / Outcome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 Management Change Status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Documented management change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(15.4%)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 documented management change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(84.6%)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Specific Clinical Actions Documented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Targeted therapy initiated (e.g., alpelisib, sirolimus)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(5.1%)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Existing therapy modified or dose-adjusted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Surgical or procedural plan influenced by test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(7.7%)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Additional Diagnostic Workup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Patients who underwent additional testing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Clinical actions were assessed in internally managed patients with valid (non-QNS, non-cancelled) results, as complete clinical documentation was available only for this subgroup. Y and VAN counted as positive for additional testing. Blank entries excluded from denominators. Targeted therapies listed are examples; actual agents confirmed by chart review.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2026-05-22T13:52:13Z</dcterms:modified>
  <cp:category/>
</cp:coreProperties>
</file>