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69"/>
        <w:gridCol w:w="1389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4. Clinical Impact of Test Results (Total patients assessed, N = 39)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Clinical Action / Outcome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 Management Change Status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Documented management change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(15.4%)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 documented management change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(84.6%)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Specific Clinical Actions Documented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Targeted therapy initiated (e.g., alpelisib, sirolimus)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(5.1%)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Existing therapy modified or dose-adjusted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Surgical or procedural plan influenced by test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(7.7%)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Additional Diagnostic Workup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Patients who underwent additional testing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Clinical actions were assessed in internally managed patients with valid (non-QNS, non-cancelled) results, as complete clinical documentation was available only for this subgroup. Y and VAN counted as positive for additional testing. Blank entries excluded from denominators. Targeted therapies listed are examples; actual agents confirmed by chart review.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2026-05-26T13:55:48Z</dcterms:modified>
  <cp:category/>
</cp:coreProperties>
</file>