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8"/>
        <w:gridCol w:w="3540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1. Patient and Cohort Characteristics (N = 161 records; 144 unique patients)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 / Value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Demographics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at collection, years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9.2 (11.6)</w:t>
            </w:r>
          </w:p>
        </w:tc>
      </w:tr>
      <w:tr>
        <w:trPr>
          <w:trHeight w:val="597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[IQR]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4.6 [1.0–14.8]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Range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– 60.9</w:t>
            </w:r>
          </w:p>
        </w:tc>
      </w:tr>
      <w:tr>
        <w:trPr>
          <w:trHeight w:val="598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Age group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Pediatric (&lt;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 (84.2%)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Adult (≥ 18 years)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(15.8%)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Female sex assigned at birth,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 (55.3%) (N = 94 of 101 patients)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Patient Origin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(33.3%)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Externally referred, n (%)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 (66.7%)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Testing Overview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D9E1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Total tests ordered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161</w:t>
            </w:r>
          </w:p>
        </w:tc>
      </w:tr>
      <w:tr>
        <w:trPr>
          <w:trHeight w:val="596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Unique patients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Internally processed tests, n (%)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 (33.3%)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SD = standard deviation. IQR = interquartile range. Age from column AP (days) / 365.25. Age and sex N exclude missing values.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2026-05-04T12:51:23Z</dcterms:modified>
  <cp:category/>
</cp:coreProperties>
</file>