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69"/>
        <w:gridCol w:w="1389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4. Clinical Impact of Test Results (Total patients assessed, N = 30)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Clinical Action / Outcome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Any documented management change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(16.7%)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Targeted therapy initiated (e.g., alpelisib, sirolimus)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(3.3%)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Existing therapy modified or dose-adjusted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Surgical or procedural plan changed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(3.3%)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 documented management change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(83.3%)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Management documentation unavailable / not reported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(0.0%)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 who underwent additional testing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(10.0%)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Clinical actions were assessed in internally managed patients with valid (non-QNS, non-cancelled) results, as complete clinical documentation was available only for this subgroup. Y and VAN counted as positive for additional testing. Blank entries excluded from denominators. Targeted therapies listed are examples; actual agents confirmed by chart review.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2026-05-04T12:51:24Z</dcterms:modified>
  <cp:category/>
</cp:coreProperties>
</file>