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37"/>
        <w:gridCol w:w="1080"/>
      </w:tblGrid>
      <w:tr>
        <w:trPr>
          <w:trHeight w:val="602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CONSORT Flow Diagram: Consolidated N Values</w:t>
            </w:r>
          </w:p>
        </w:tc>
      </w:tr>
      <w:tr>
        <w:trPr>
          <w:trHeight w:val="602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Stage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1 — INTAKE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SpotSeq test records logged (Jan 2023 – Jan 2026)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Rows excluded: no Patient ID (spacer rows)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with valid Patient 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2 — RESULT ELIGIBILITY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excluded: blank result entry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included in analysis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3 — TEST VALIDITY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 tests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 — quantity not sufficient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Valid (analyzable: Positive or Negative)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4 — VALID TESTS BY ASSAY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5 — VALID TESTS BY SPECIMEN TYPE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 (FFPE Scrolls / non-fluid)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6 — PATIENT ORIGIN (patient-level, all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at SCH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All N values are derived from canonical analysis variables. Transcribe directly into the manuscript Figure 1 flow diagram.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2026-05-11T13:59:26Z</dcterms:modified>
  <cp:category/>
</cp:coreProperties>
</file>