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51"/>
        <w:gridCol w:w="2075"/>
        <w:gridCol w:w="1412"/>
        <w:gridCol w:w="1195"/>
      </w:tblGrid>
      <w:tr>
        <w:trPr>
          <w:trHeight w:val="556" w:hRule="auto"/>
          <w:tblHeader/>
        </w:trPr>
        <w:tc>
          <w:tcPr>
            <w:gridSpan w:val="4"/>
            <w:tcBorders>
              <w:bottom w:val="single" w:sz="12" w:space="0" w:color="666666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Supplementary Table. Logistic regression: probability of QNS by fluid volume</w:t>
            </w:r>
          </w:p>
        </w:tc>
      </w:tr>
      <w:tr>
        <w:trPr>
          <w:trHeight w:val="553" w:hRule="auto"/>
          <w:tblHeader/>
        </w:trPr>
        <w:tc>
          <w:tcPr>
            <w:tcBorders>
              <w:bottom w:val="single" w:sz="8" w:space="0" w:color="000000"/>
              <w:top w:val="single" w:sz="12" w:space="0" w:color="666666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 per doubling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599" w:hRule="auto"/>
        </w:trPr>
        <w:tc>
          <w:tcPr>
            <w:tcBorders>
              <w:bottom w:val="single" w:sz="4" w:space="0" w:color="CCCCCC"/>
              <w:top w:val="single" w:sz="8" w:space="0" w:color="000000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Volume only (unadjusted)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[0.42–0.89]</w:t>
            </w:r>
          </w:p>
        </w:tc>
        <w:tc>
          <w:tcPr>
            <w:tcBorders>
              <w:bottom w:val="single" w:sz="4" w:space="0" w:color="CCCCCC"/>
              <w:top w:val="single" w:sz="8" w:space="0" w:color="000000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</w:tr>
      <w:tr>
        <w:trPr>
          <w:trHeight w:val="599" w:hRule="auto"/>
        </w:trPr>
        <w:tc>
          <w:tcPr>
            <w:tcBorders>
              <w:bottom w:val="single" w:sz="8" w:space="0" w:color="000000"/>
              <w:top w:val="single" w:sz="4" w:space="0" w:color="CCCCCC"/>
              <w:left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Volume + specimen type (adjusted)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[0.35–0.83]</w:t>
            </w:r>
          </w:p>
        </w:tc>
        <w:tc>
          <w:tcPr>
            <w:tcBorders>
              <w:bottom w:val="single" w:sz="8" w:space="0" w:color="000000"/>
              <w:top w:val="single" w:sz="4" w:space="0" w:color="CCCCCC"/>
              <w:left w:val="none" w:sz="0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16"/>
                <w:szCs w:val="16"/>
                <w:color w:val="595959"/>
              </w:rPr>
              <w:t xml:space="preserve">OR per doubling = multiplicative change in QNS odds per doubling of volume (OR &lt; 1 indicates protective effect). Blood vs. Cyst Fluid (adjusted): OR = 2.96 [0.97–9.87], p = 0.061. Restricted to Blood and Cyst Fluid specimens with volume &gt; 0. n = 140 (17 QNS, 123 Valid).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solomon</cp:lastModifiedBy>
  <cp:revision>9</cp:revision>
  <dcterms:created xsi:type="dcterms:W3CDTF">2017-02-28T11:18:00Z</dcterms:created>
  <dcterms:modified xsi:type="dcterms:W3CDTF">2026-05-11T13:59:25Z</dcterms:modified>
  <cp:category/>
</cp:coreProperties>
</file>