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3"/>
        <w:gridCol w:w="2143"/>
        <w:gridCol w:w="633"/>
        <w:gridCol w:w="2313"/>
        <w:gridCol w:w="1300"/>
      </w:tblGrid>
      <w:tr>
        <w:trPr>
          <w:trHeight w:val="590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Blood: p = 0.009 (valid n=43, QNS n=9) | Cyst Fluid: p = 0.251 (valid n=80, QNS n=8)</w:t>
            </w:r>
          </w:p>
        </w:tc>
      </w:tr>
      <w:tr>
        <w:trPr>
          <w:trHeight w:val="556" w:hRule="auto"/>
          <w:tblHeader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Fluid volume — QNS vs. valid, by specimen type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Type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Result Category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Volume (mL)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IQR</w:t>
            </w:r>
          </w:p>
        </w:tc>
      </w:tr>
      <w:tr>
        <w:trPr>
          <w:trHeight w:val="594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Valid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[5.0–10.2]</w:t>
            </w:r>
          </w:p>
        </w:tc>
      </w:tr>
      <w:tr>
        <w:trPr>
          <w:trHeight w:val="59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QNS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[4.0–7.0]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[4.4–11.1]</w:t>
            </w:r>
          </w:p>
        </w:tc>
      </w:tr>
      <w:tr>
        <w:trPr>
          <w:trHeight w:val="601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Cyst Fluid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QNS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[1.0–9.5]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Two-sided Mann–Whitney U test within each specimen type. Restricted to specimens with fluid volume &gt; 0. Stratified analysis avoids confounding by specimen-type-dependent differences in expected volume and collection workflow.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2026-05-11T13:59:25Z</dcterms:modified>
  <cp:category/>
</cp:coreProperties>
</file>