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8"/>
        <w:gridCol w:w="3651"/>
      </w:tblGrid>
      <w:tr>
        <w:trPr>
          <w:trHeight w:val="590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1. Patient and Cohort Characteristics (N = 160 records; 143 unique patients)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(%) / Value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Demographics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Age at collection, years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141 of 143 patients)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9.8 (11.4)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[IQR]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5.1 [1.4–15.3]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Range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 – 60.9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Age group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Pediatric (&lt; 18 years)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 (85.8%)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Adult (≥ 18 years)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(14.2%)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Female sex assigned at birth,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 (51.7%) (N = 143 of 143 patients)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Patient Origin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 = 143 of 143 patients)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Internally processed,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(30.1%)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Externally referred,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 (69.9%)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Testing Overview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Total tests ordered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</w:tr>
      <w:tr>
        <w:trPr>
          <w:trHeight w:val="596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Unique patients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</w:t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Internally processed tests, n (%)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(28.1%)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SD = standard deviation. IQR = interquartile range. Age from column AP (days) / 365.25. Patient-level rows computed across all unique patients (N = 143); subgroup denominators exclude missing values. Internally processed tests = test-level count.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2026-05-06T14:45:31Z</dcterms:modified>
  <cp:category/>
</cp:coreProperties>
</file>