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8"/>
        <w:gridCol w:w="3651"/>
      </w:tblGrid>
      <w:tr>
        <w:trPr>
          <w:trHeight w:val="590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1. Patient and Cohort Characteristics (N = 160 records; 143 unique patients)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(%) / Value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Age at collection, years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143 of 143 patients)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9.9 (11.3)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[IQR]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 [1.4–15.3]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Range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– 60.9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Age group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Pediatric (&lt; 18 years)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 (85.3%)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Adult (≥ 18 years)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(14.7%)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Female sex assigned at birth,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(51.7%) (N = 143 of 143 patients)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Patient Origin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 = 143 of 143 patients)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(30.1%)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Externally referred,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 (69.9%)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Testing Overview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tests ordered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596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Unique patients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 tests, n (%)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(28.1%)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SD = standard deviation. IQR = interquartile range. Age from column AP (days) / 365.25. Patient-level rows computed across all unique patients (N = 143); subgroup denominators exclude missing values. Internally processed tests = test-level count.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2026-05-11T13:59:25Z</dcterms:modified>
  <cp:category/>
</cp:coreProperties>
</file>