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29"/>
        <w:gridCol w:w="1856"/>
        <w:gridCol w:w="1856"/>
        <w:gridCol w:w="1856"/>
      </w:tblGrid>
      <w:tr>
        <w:trPr>
          <w:trHeight w:val="590" w:hRule="auto"/>
          <w:tblHeader/>
        </w:trPr>
        <w:tc>
          <w:tcPr>
            <w:gridSpan w:val="4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2. Test Volume, Validity, and Results (N = 160 tests)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 n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Positive n (%)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Negative n (%)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 Validity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Total tests ordered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Analyzable (valid)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 (84.4%)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(33.3%)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(66.7%)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QNS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(11.9%)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Cancelled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(3.8%)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Results by Assay (valid tests only)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PIK3CA Multiplex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(32.8%)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(67.2%)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(50.0%)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(50.0%)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BRAF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(16.7%)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(83.3%)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Type (valid tests only)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Blood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(15.2%)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(84.8%)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Cyst Fluid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(41.9%)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(58.1%)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FFPE Scrolls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(66.7%)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(33.3%)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Source (valid tests only)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Blood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(15.6%)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(84.4%)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Lymphatic Fluid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(41.6%)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(58.4%)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Other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(33.3%)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(66.7%)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Collection Metrics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Fluid volume, mL — median (N=112 patients)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 (N=39)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 (N=84)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DNA concentration, ng/µL — median (N=134)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DNA used in assay, ng — median [IQR] (N=133)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47.6 [23.8–60.0]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39.7 [28.6–60.0]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49.2 [22.8–60.0]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EXON 21 WT droplets — mean (SD) (N=118)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2331.2 (1901.0)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2046.8 (1327.6)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2471.6 (2121.7)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EXON 10 WT droplets — mean (SD) (N=118)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3147.7 (2492.5)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2917.1 (2024.6)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3261.6 (2698.5)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QNS = quantity not sufficient. Blank result entries excluded from all counts. NEG* treated as Negative. Fluid volume reported at patient level (unique patient ID); DNA and droplet metrics at test level (all valid tests).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2026-05-06T14:45:32Z</dcterms:modified>
  <cp:category/>
</cp:coreProperties>
</file>