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96FA4" w14:textId="77777777" w:rsidR="00CF617D" w:rsidRDefault="00CF617D"/>
    <w:p w14:paraId="49F96FA5" w14:textId="77777777" w:rsidR="00CF617D" w:rsidRDefault="00CF617D">
      <w:pPr>
        <w:sectPr w:rsidR="00CF617D">
          <w:type w:val="continuous"/>
          <w:pgSz w:w="11906" w:h="16838"/>
          <w:pgMar w:top="1417" w:right="1417" w:bottom="1417" w:left="1417" w:header="708" w:footer="708" w:gutter="0"/>
          <w:cols w:space="720"/>
        </w:sectPr>
      </w:pPr>
    </w:p>
    <w:tbl>
      <w:tblPr>
        <w:tblW w:w="19440" w:type="dxa"/>
        <w:jc w:val="center"/>
        <w:tblLayout w:type="fixed"/>
        <w:tblLook w:val="0420" w:firstRow="1" w:lastRow="0" w:firstColumn="0" w:lastColumn="0" w:noHBand="0" w:noVBand="1"/>
      </w:tblPr>
      <w:tblGrid>
        <w:gridCol w:w="1177"/>
        <w:gridCol w:w="1230"/>
        <w:gridCol w:w="847"/>
        <w:gridCol w:w="1839"/>
        <w:gridCol w:w="1959"/>
        <w:gridCol w:w="1771"/>
        <w:gridCol w:w="2208"/>
        <w:gridCol w:w="2208"/>
        <w:gridCol w:w="2308"/>
        <w:gridCol w:w="1795"/>
        <w:gridCol w:w="2098"/>
      </w:tblGrid>
      <w:tr w:rsidR="00CF617D" w14:paraId="49F96FA7" w14:textId="77777777" w:rsidTr="007E7A8B">
        <w:trPr>
          <w:tblHeader/>
          <w:jc w:val="center"/>
        </w:trPr>
        <w:tc>
          <w:tcPr>
            <w:tcW w:w="27470" w:type="dxa"/>
            <w:gridSpan w:val="11"/>
            <w:tcBorders>
              <w:top w:val="single" w:sz="8" w:space="0" w:color="000000"/>
              <w:left w:val="single" w:sz="8" w:space="0" w:color="000000"/>
              <w:bottom w:val="single" w:sz="12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A6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lastRenderedPageBreak/>
              <w:t>Table 3. Assay Performance Metrics by Result (valid tests only)</w:t>
            </w:r>
          </w:p>
        </w:tc>
      </w:tr>
      <w:tr w:rsidR="00CF617D" w14:paraId="49F96FB3" w14:textId="77777777" w:rsidTr="007E7A8B">
        <w:trPr>
          <w:tblHeader/>
          <w:jc w:val="center"/>
        </w:trPr>
        <w:tc>
          <w:tcPr>
            <w:tcW w:w="1656" w:type="dxa"/>
            <w:tcBorders>
              <w:top w:val="single" w:sz="12" w:space="0" w:color="666666"/>
              <w:left w:val="single" w:sz="8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A8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Assay</w:t>
            </w:r>
          </w:p>
        </w:tc>
        <w:tc>
          <w:tcPr>
            <w:tcW w:w="1736" w:type="dxa"/>
            <w:tcBorders>
              <w:top w:val="single" w:sz="12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A9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Result</w:t>
            </w:r>
          </w:p>
        </w:tc>
        <w:tc>
          <w:tcPr>
            <w:tcW w:w="1193" w:type="dxa"/>
            <w:tcBorders>
              <w:top w:val="single" w:sz="12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AA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n (%)</w:t>
            </w:r>
          </w:p>
        </w:tc>
        <w:tc>
          <w:tcPr>
            <w:tcW w:w="2600" w:type="dxa"/>
            <w:tcBorders>
              <w:top w:val="single" w:sz="12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AB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Fluid Vol (mL) Median [IQR]</w:t>
            </w:r>
          </w:p>
        </w:tc>
        <w:tc>
          <w:tcPr>
            <w:tcW w:w="2770" w:type="dxa"/>
            <w:tcBorders>
              <w:top w:val="single" w:sz="12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AC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DNA Conc (ng/µL) Median [IQR]</w:t>
            </w:r>
          </w:p>
        </w:tc>
        <w:tc>
          <w:tcPr>
            <w:tcW w:w="2504" w:type="dxa"/>
            <w:tcBorders>
              <w:top w:val="single" w:sz="12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AD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DNA Used (ng) Median [IQR]</w:t>
            </w:r>
          </w:p>
        </w:tc>
        <w:tc>
          <w:tcPr>
            <w:tcW w:w="3123" w:type="dxa"/>
            <w:tcBorders>
              <w:top w:val="single" w:sz="12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AE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EXON 21 WT Droplets Median [IQR]</w:t>
            </w:r>
          </w:p>
        </w:tc>
        <w:tc>
          <w:tcPr>
            <w:tcW w:w="3123" w:type="dxa"/>
            <w:tcBorders>
              <w:top w:val="single" w:sz="12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AF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EXON 10 WT Droplets Median [IQR]</w:t>
            </w:r>
          </w:p>
        </w:tc>
        <w:tc>
          <w:tcPr>
            <w:tcW w:w="3265" w:type="dxa"/>
            <w:tcBorders>
              <w:top w:val="single" w:sz="12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B0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Median Single Probe Avg Droplets</w:t>
            </w:r>
          </w:p>
        </w:tc>
        <w:tc>
          <w:tcPr>
            <w:tcW w:w="2537" w:type="dxa"/>
            <w:tcBorders>
              <w:top w:val="single" w:sz="12" w:space="0" w:color="666666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B1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Specimen Type: Blood n (%)</w:t>
            </w:r>
          </w:p>
        </w:tc>
        <w:tc>
          <w:tcPr>
            <w:tcW w:w="2963" w:type="dxa"/>
            <w:tcBorders>
              <w:top w:val="single" w:sz="12" w:space="0" w:color="666666"/>
              <w:left w:val="none" w:sz="0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B2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Specimen Type: Cyst Fluid n (%)</w:t>
            </w:r>
          </w:p>
        </w:tc>
      </w:tr>
      <w:tr w:rsidR="00CF617D" w14:paraId="49F96FBF" w14:textId="77777777" w:rsidTr="007E7A8B">
        <w:trPr>
          <w:jc w:val="center"/>
        </w:trPr>
        <w:tc>
          <w:tcPr>
            <w:tcW w:w="1656" w:type="dxa"/>
            <w:tcBorders>
              <w:top w:val="single" w:sz="8" w:space="0" w:color="000000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B4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PIK3CA Multiplex</w:t>
            </w:r>
          </w:p>
        </w:tc>
        <w:tc>
          <w:tcPr>
            <w:tcW w:w="1736" w:type="dxa"/>
            <w:tcBorders>
              <w:top w:val="single" w:sz="8" w:space="0" w:color="000000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B5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1193" w:type="dxa"/>
            <w:tcBorders>
              <w:top w:val="single" w:sz="8" w:space="0" w:color="000000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B6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600" w:type="dxa"/>
            <w:tcBorders>
              <w:top w:val="single" w:sz="8" w:space="0" w:color="000000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B7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770" w:type="dxa"/>
            <w:tcBorders>
              <w:top w:val="single" w:sz="8" w:space="0" w:color="000000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B8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504" w:type="dxa"/>
            <w:tcBorders>
              <w:top w:val="single" w:sz="8" w:space="0" w:color="000000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B9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3123" w:type="dxa"/>
            <w:tcBorders>
              <w:top w:val="single" w:sz="8" w:space="0" w:color="000000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BA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3123" w:type="dxa"/>
            <w:tcBorders>
              <w:top w:val="single" w:sz="8" w:space="0" w:color="000000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BB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3265" w:type="dxa"/>
            <w:tcBorders>
              <w:top w:val="single" w:sz="8" w:space="0" w:color="000000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BC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537" w:type="dxa"/>
            <w:tcBorders>
              <w:top w:val="single" w:sz="8" w:space="0" w:color="000000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BD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963" w:type="dxa"/>
            <w:tcBorders>
              <w:top w:val="single" w:sz="8" w:space="0" w:color="000000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BE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</w:tr>
      <w:tr w:rsidR="00CF617D" w14:paraId="49F96FCB" w14:textId="77777777" w:rsidTr="007E7A8B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C0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C1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Positive</w:t>
            </w: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C2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29 (29.6%)</w:t>
            </w: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C3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8.5 [5.2–12.8]</w:t>
            </w: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C4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5.4 [1.4–24.0]</w:t>
            </w: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C5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39.7 [32.7–60.0]</w:t>
            </w:r>
          </w:p>
        </w:tc>
        <w:tc>
          <w:tcPr>
            <w:tcW w:w="312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C6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1577.0 [1098.3–2348.0]</w:t>
            </w:r>
          </w:p>
        </w:tc>
        <w:tc>
          <w:tcPr>
            <w:tcW w:w="312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C7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2060.7 [1464.3–4053.3]</w:t>
            </w:r>
          </w:p>
        </w:tc>
        <w:tc>
          <w:tcPr>
            <w:tcW w:w="3265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C8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C9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 (6.9%)</w:t>
            </w: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CA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26 (89.7%)</w:t>
            </w:r>
          </w:p>
        </w:tc>
      </w:tr>
      <w:tr w:rsidR="00CF617D" w14:paraId="49F96FD7" w14:textId="77777777" w:rsidTr="007E7A8B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CC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CD" w14:textId="77777777" w:rsidR="00CF617D" w:rsidRPr="007E7A8B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iCs/>
                <w:color w:val="000000"/>
                <w:sz w:val="16"/>
                <w:szCs w:val="16"/>
              </w:rPr>
            </w:pPr>
            <w:r w:rsidRPr="007E7A8B">
              <w:rPr>
                <w:rFonts w:ascii="Calibri" w:eastAsia="Calibri" w:hAnsi="Calibri" w:cs="Calibri"/>
                <w:i/>
                <w:iCs/>
                <w:color w:val="000000"/>
                <w:sz w:val="16"/>
                <w:szCs w:val="16"/>
              </w:rPr>
              <w:t xml:space="preserve">  p.E542K</w:t>
            </w: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CE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10 (34.5%)</w:t>
            </w: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CF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7.5 [5.2–8.5]</w:t>
            </w: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D0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5.0 [1.2–15.2]</w:t>
            </w: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D1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46.7 [25.8–60.0]</w:t>
            </w:r>
          </w:p>
        </w:tc>
        <w:tc>
          <w:tcPr>
            <w:tcW w:w="312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D2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1558.7 [1168.4–1908.6]</w:t>
            </w:r>
          </w:p>
        </w:tc>
        <w:tc>
          <w:tcPr>
            <w:tcW w:w="312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D3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2047.8 [1621.7–3273.6]</w:t>
            </w:r>
          </w:p>
        </w:tc>
        <w:tc>
          <w:tcPr>
            <w:tcW w:w="3265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D4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D5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 (10.0%)</w:t>
            </w: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D6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8 (80.0%)</w:t>
            </w:r>
          </w:p>
        </w:tc>
      </w:tr>
      <w:tr w:rsidR="00CF617D" w14:paraId="49F96FE3" w14:textId="77777777" w:rsidTr="007E7A8B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D8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D9" w14:textId="77777777" w:rsidR="00CF617D" w:rsidRPr="007E7A8B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 xml:space="preserve">  </w:t>
            </w:r>
            <w:r w:rsidRPr="007E7A8B">
              <w:rPr>
                <w:rFonts w:ascii="Calibri" w:eastAsia="Calibri" w:hAnsi="Calibri" w:cs="Calibri"/>
                <w:i/>
                <w:iCs/>
                <w:color w:val="000000"/>
                <w:sz w:val="16"/>
                <w:szCs w:val="16"/>
              </w:rPr>
              <w:t>p.E545K</w:t>
            </w: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DA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13 (44.8%)</w:t>
            </w: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DB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9.5 [8.8–17.1]</w:t>
            </w: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DC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7.9 [3.1–26.0]</w:t>
            </w: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DD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57.0 [35.9–60.0]</w:t>
            </w:r>
          </w:p>
        </w:tc>
        <w:tc>
          <w:tcPr>
            <w:tcW w:w="312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DE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2341.0 [1098.3–2855.0]</w:t>
            </w:r>
          </w:p>
        </w:tc>
        <w:tc>
          <w:tcPr>
            <w:tcW w:w="312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DF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2918.7 [1334.3–4470.7]</w:t>
            </w:r>
          </w:p>
        </w:tc>
        <w:tc>
          <w:tcPr>
            <w:tcW w:w="3265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E0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E1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0 (0.0%)</w:t>
            </w: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E2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13 (100.0%)</w:t>
            </w:r>
          </w:p>
        </w:tc>
      </w:tr>
      <w:tr w:rsidR="00CF617D" w14:paraId="49F96FEF" w14:textId="77777777" w:rsidTr="007E7A8B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E4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E5" w14:textId="77777777" w:rsidR="00CF617D" w:rsidRPr="007E7A8B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iCs/>
                <w:color w:val="000000"/>
                <w:sz w:val="16"/>
                <w:szCs w:val="16"/>
              </w:rPr>
            </w:pPr>
            <w:r w:rsidRPr="007E7A8B">
              <w:rPr>
                <w:rFonts w:ascii="Calibri" w:eastAsia="Calibri" w:hAnsi="Calibri" w:cs="Calibri"/>
                <w:i/>
                <w:iCs/>
                <w:color w:val="000000"/>
                <w:sz w:val="16"/>
                <w:szCs w:val="16"/>
              </w:rPr>
              <w:t xml:space="preserve">  p.H1047R</w:t>
            </w: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E6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6 (20.7%)</w:t>
            </w: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E7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3.5 [2.8–7.1]</w:t>
            </w: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E8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2.6 [1.6–4.1]</w:t>
            </w: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E9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34.6 [33.1–38.6]</w:t>
            </w:r>
          </w:p>
        </w:tc>
        <w:tc>
          <w:tcPr>
            <w:tcW w:w="312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EA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1445.0 [1230.1–1581.9]</w:t>
            </w:r>
          </w:p>
        </w:tc>
        <w:tc>
          <w:tcPr>
            <w:tcW w:w="312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EB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1947.8 [1557.0–2067.7]</w:t>
            </w:r>
          </w:p>
        </w:tc>
        <w:tc>
          <w:tcPr>
            <w:tcW w:w="3265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EC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ED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 (16.7%)</w:t>
            </w: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EE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5 (83.3%)</w:t>
            </w:r>
          </w:p>
        </w:tc>
      </w:tr>
      <w:tr w:rsidR="00CF617D" w14:paraId="49F96FFB" w14:textId="77777777" w:rsidTr="007E7A8B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F0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F1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Negative</w:t>
            </w: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F2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69 (70.4%)</w:t>
            </w: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F3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8.0 [4.6–10.5]</w:t>
            </w: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F4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2.5 [0.9–36.5]</w:t>
            </w: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F5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41.2 [19.8–60.0]</w:t>
            </w:r>
          </w:p>
        </w:tc>
        <w:tc>
          <w:tcPr>
            <w:tcW w:w="312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F6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1991.2 [806.3–3347.7]</w:t>
            </w:r>
          </w:p>
        </w:tc>
        <w:tc>
          <w:tcPr>
            <w:tcW w:w="312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F7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2609.2 [1009.2–4187.3]</w:t>
            </w:r>
          </w:p>
        </w:tc>
        <w:tc>
          <w:tcPr>
            <w:tcW w:w="3265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F8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F9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30 (43.5%)</w:t>
            </w: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FA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39 (56.5%)</w:t>
            </w:r>
          </w:p>
        </w:tc>
      </w:tr>
      <w:tr w:rsidR="00CF617D" w14:paraId="49F97007" w14:textId="77777777" w:rsidTr="007E7A8B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FC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FD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p-value</w:t>
            </w: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FE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6FFF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0.428</w:t>
            </w: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00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0.759</w:t>
            </w: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01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0.893</w:t>
            </w:r>
          </w:p>
        </w:tc>
        <w:tc>
          <w:tcPr>
            <w:tcW w:w="312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02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0.456</w:t>
            </w:r>
          </w:p>
        </w:tc>
        <w:tc>
          <w:tcPr>
            <w:tcW w:w="312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03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0.679</w:t>
            </w:r>
          </w:p>
        </w:tc>
        <w:tc>
          <w:tcPr>
            <w:tcW w:w="3265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04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N/A</w:t>
            </w: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05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&lt;0.001</w:t>
            </w: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06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</w:p>
        </w:tc>
      </w:tr>
      <w:tr w:rsidR="00CF617D" w14:paraId="49F97013" w14:textId="77777777" w:rsidTr="007E7A8B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08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TEK</w:t>
            </w: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09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0A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0B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0C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0D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312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0E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312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0F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3265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10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11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12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</w:tr>
      <w:tr w:rsidR="00CF617D" w14:paraId="49F9701F" w14:textId="77777777" w:rsidTr="007E7A8B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14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15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Positive (p.L914F)</w:t>
            </w: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16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3 (37.5%)</w:t>
            </w: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17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10.5 [7.2–11.5]</w:t>
            </w: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18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1.8 [1.7–2.9]</w:t>
            </w: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19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48.0 [38.3–48.4]</w:t>
            </w:r>
          </w:p>
        </w:tc>
        <w:tc>
          <w:tcPr>
            <w:tcW w:w="312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1A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12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1B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5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1C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2063.0 [2046.0–2158.0]</w:t>
            </w: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1D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3 (100.0%)</w:t>
            </w: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1E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0 (0.0%)</w:t>
            </w:r>
          </w:p>
        </w:tc>
      </w:tr>
      <w:tr w:rsidR="00CF617D" w14:paraId="49F9702B" w14:textId="77777777" w:rsidTr="007E7A8B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20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21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Negative</w:t>
            </w: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22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5 (62.5%)</w:t>
            </w: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23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10.0 [9.9–10.2]</w:t>
            </w: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24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0.9 [0.6–1.9]</w:t>
            </w: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25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24.3 [16.3–56.1]</w:t>
            </w:r>
          </w:p>
        </w:tc>
        <w:tc>
          <w:tcPr>
            <w:tcW w:w="312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26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12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27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5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28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1796.3 [938.2–2620.9]</w:t>
            </w: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29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5 (100.0%)</w:t>
            </w: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2A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0 (0.0%)</w:t>
            </w:r>
          </w:p>
        </w:tc>
      </w:tr>
      <w:tr w:rsidR="00CF617D" w14:paraId="49F97037" w14:textId="77777777" w:rsidTr="007E7A8B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2C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2D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p-value</w:t>
            </w: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2E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2F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0.858</w:t>
            </w: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30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0.371</w:t>
            </w: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31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0.766</w:t>
            </w:r>
          </w:p>
        </w:tc>
        <w:tc>
          <w:tcPr>
            <w:tcW w:w="312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32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N/A</w:t>
            </w:r>
          </w:p>
        </w:tc>
        <w:tc>
          <w:tcPr>
            <w:tcW w:w="312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33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N/A</w:t>
            </w:r>
          </w:p>
        </w:tc>
        <w:tc>
          <w:tcPr>
            <w:tcW w:w="3265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34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1.000</w:t>
            </w: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35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--</w:t>
            </w: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36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</w:p>
        </w:tc>
      </w:tr>
      <w:tr w:rsidR="00CF617D" w14:paraId="49F97043" w14:textId="77777777" w:rsidTr="007E7A8B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38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  <w:t>BRAF</w:t>
            </w: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39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3A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3B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3C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3D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312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3E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312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3F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3265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40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41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D9E1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42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b/>
                <w:color w:val="000000"/>
                <w:sz w:val="16"/>
                <w:szCs w:val="16"/>
              </w:rPr>
            </w:pPr>
          </w:p>
        </w:tc>
      </w:tr>
      <w:tr w:rsidR="00CF617D" w14:paraId="49F9704F" w14:textId="77777777" w:rsidTr="007E7A8B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44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45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Positive (p.V600E)</w:t>
            </w: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46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 (16.7%)</w:t>
            </w: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47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18.5 [18.5–18.5]</w:t>
            </w: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48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59.0 [59.0–59.0]</w:t>
            </w: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49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60.0 [60.0–60.0]</w:t>
            </w:r>
          </w:p>
        </w:tc>
        <w:tc>
          <w:tcPr>
            <w:tcW w:w="312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4A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12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4B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5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4C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6488.0 [6488.0–6488.0]</w:t>
            </w: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4D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0 (0.0%)</w:t>
            </w: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4E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 (100.0%)</w:t>
            </w:r>
          </w:p>
        </w:tc>
      </w:tr>
      <w:tr w:rsidR="00CF617D" w14:paraId="49F9705B" w14:textId="77777777" w:rsidTr="007E7A8B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50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51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Negative</w:t>
            </w: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52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5 (83.3%)</w:t>
            </w: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53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9.9 [7.8–11.8]</w:t>
            </w: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54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45.0 [9.3–142.0]</w:t>
            </w: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55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57.8 [50.5–64.5]</w:t>
            </w:r>
          </w:p>
        </w:tc>
        <w:tc>
          <w:tcPr>
            <w:tcW w:w="312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56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12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57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3265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58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2358.2 [997.4–4104.2]</w:t>
            </w: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59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 (40.0%)</w:t>
            </w: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5A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3 (60.0%)</w:t>
            </w:r>
          </w:p>
        </w:tc>
      </w:tr>
      <w:tr w:rsidR="00CF617D" w14:paraId="49F97067" w14:textId="77777777" w:rsidTr="007E7A8B">
        <w:trPr>
          <w:jc w:val="center"/>
        </w:trPr>
        <w:tc>
          <w:tcPr>
            <w:tcW w:w="1656" w:type="dxa"/>
            <w:tcBorders>
              <w:top w:val="single" w:sz="4" w:space="0" w:color="CCCCCC"/>
              <w:left w:val="single" w:sz="8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5C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</w:p>
        </w:tc>
        <w:tc>
          <w:tcPr>
            <w:tcW w:w="1736" w:type="dxa"/>
            <w:tcBorders>
              <w:top w:val="single" w:sz="4" w:space="0" w:color="CCCCCC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5D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p-value</w:t>
            </w:r>
          </w:p>
        </w:tc>
        <w:tc>
          <w:tcPr>
            <w:tcW w:w="1193" w:type="dxa"/>
            <w:tcBorders>
              <w:top w:val="single" w:sz="4" w:space="0" w:color="CCCCCC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5E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</w:p>
        </w:tc>
        <w:tc>
          <w:tcPr>
            <w:tcW w:w="2600" w:type="dxa"/>
            <w:tcBorders>
              <w:top w:val="single" w:sz="4" w:space="0" w:color="CCCCCC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5F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--</w:t>
            </w:r>
          </w:p>
        </w:tc>
        <w:tc>
          <w:tcPr>
            <w:tcW w:w="2770" w:type="dxa"/>
            <w:tcBorders>
              <w:top w:val="single" w:sz="4" w:space="0" w:color="CCCCCC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60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--</w:t>
            </w:r>
          </w:p>
        </w:tc>
        <w:tc>
          <w:tcPr>
            <w:tcW w:w="2504" w:type="dxa"/>
            <w:tcBorders>
              <w:top w:val="single" w:sz="4" w:space="0" w:color="CCCCCC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61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--</w:t>
            </w:r>
          </w:p>
        </w:tc>
        <w:tc>
          <w:tcPr>
            <w:tcW w:w="3123" w:type="dxa"/>
            <w:tcBorders>
              <w:top w:val="single" w:sz="4" w:space="0" w:color="CCCCCC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62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N/A</w:t>
            </w:r>
          </w:p>
        </w:tc>
        <w:tc>
          <w:tcPr>
            <w:tcW w:w="3123" w:type="dxa"/>
            <w:tcBorders>
              <w:top w:val="single" w:sz="4" w:space="0" w:color="CCCCCC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63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N/A</w:t>
            </w:r>
          </w:p>
        </w:tc>
        <w:tc>
          <w:tcPr>
            <w:tcW w:w="3265" w:type="dxa"/>
            <w:tcBorders>
              <w:top w:val="single" w:sz="4" w:space="0" w:color="CCCCCC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64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--</w:t>
            </w:r>
          </w:p>
        </w:tc>
        <w:tc>
          <w:tcPr>
            <w:tcW w:w="2537" w:type="dxa"/>
            <w:tcBorders>
              <w:top w:val="single" w:sz="4" w:space="0" w:color="CCCCCC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65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  <w:t>1.000</w:t>
            </w:r>
          </w:p>
        </w:tc>
        <w:tc>
          <w:tcPr>
            <w:tcW w:w="2963" w:type="dxa"/>
            <w:tcBorders>
              <w:top w:val="single" w:sz="4" w:space="0" w:color="CCCCCC"/>
              <w:left w:val="none" w:sz="0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66" w14:textId="77777777" w:rsidR="00CF617D" w:rsidRDefault="00CF61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i/>
                <w:color w:val="595959"/>
                <w:sz w:val="16"/>
                <w:szCs w:val="16"/>
              </w:rPr>
            </w:pPr>
          </w:p>
        </w:tc>
      </w:tr>
      <w:tr w:rsidR="00CF617D" w14:paraId="49F97069" w14:textId="77777777" w:rsidTr="007E7A8B">
        <w:trPr>
          <w:jc w:val="center"/>
        </w:trPr>
        <w:tc>
          <w:tcPr>
            <w:tcW w:w="27470" w:type="dxa"/>
            <w:gridSpan w:val="11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7068" w14:textId="77777777" w:rsidR="00CF617D" w:rsidRDefault="00AB418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Calibri" w:eastAsia="Calibri" w:hAnsi="Calibri" w:cs="Calibri"/>
                <w:color w:val="595959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595959"/>
                <w:sz w:val="16"/>
                <w:szCs w:val="16"/>
              </w:rPr>
              <w:t>IQR = interquartile range. All continuous metrics reported as Median [IQR]. EXON 21/10 WT droplet counts: N/A for TEK and BRAF. Median single probe avg droplets: N/A for PIK3CA Multiplex. Specimen type breakdown reflects tests within each result group. p-values: Mann-Whitney U test for continuous variables; Fisher's exact test for specimen type (Blood vs Cyst Fluid). PIK3CA variant sub-row percentages are of PIK3CA Positive tests.</w:t>
            </w:r>
          </w:p>
        </w:tc>
      </w:tr>
    </w:tbl>
    <w:p w14:paraId="49F9706A" w14:textId="77777777" w:rsidR="00CF617D" w:rsidRDefault="00CF617D">
      <w:pPr>
        <w:sectPr w:rsidR="00CF617D" w:rsidSect="007E7A8B">
          <w:type w:val="oddPage"/>
          <w:pgSz w:w="20160" w:h="12240" w:orient="landscape"/>
          <w:pgMar w:top="1417" w:right="1417" w:bottom="1417" w:left="1417" w:header="708" w:footer="708" w:gutter="0"/>
          <w:cols w:space="720"/>
          <w:docGrid w:linePitch="326"/>
        </w:sectPr>
      </w:pPr>
    </w:p>
    <w:p w14:paraId="49F9706B" w14:textId="77777777" w:rsidR="00AB4181" w:rsidRDefault="00AB4181"/>
    <w:sectPr w:rsidR="00AB4181" w:rsidSect="007E7A8B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74584818">
    <w:abstractNumId w:val="1"/>
  </w:num>
  <w:num w:numId="2" w16cid:durableId="1776634126">
    <w:abstractNumId w:val="2"/>
  </w:num>
  <w:num w:numId="3" w16cid:durableId="1105732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17D"/>
    <w:rsid w:val="00032524"/>
    <w:rsid w:val="002B01ED"/>
    <w:rsid w:val="007E7A8B"/>
    <w:rsid w:val="00AB4181"/>
    <w:rsid w:val="00CF6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96FA4"/>
  <w15:docId w15:val="{4435ECC0-EDEB-A44B-B2EA-CBE144F36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046da4d3-ba20-4986-879c-49e262eff745}" enabled="1" method="Standard" siteId="{9f693e63-5e9e-4ced-98a4-8ab28f9d0c2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322</Words>
  <Characters>1840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Solomon Johnson</cp:lastModifiedBy>
  <cp:revision>10</cp:revision>
  <dcterms:created xsi:type="dcterms:W3CDTF">2017-02-28T11:18:00Z</dcterms:created>
  <dcterms:modified xsi:type="dcterms:W3CDTF">2026-05-06T16:53:00Z</dcterms:modified>
  <cp:category/>
</cp:coreProperties>
</file>