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3DECC" w14:textId="77777777" w:rsidR="00847385" w:rsidRDefault="00847385"/>
    <w:p w14:paraId="3503DECD" w14:textId="77777777" w:rsidR="00847385" w:rsidRDefault="00847385">
      <w:pPr>
        <w:sectPr w:rsidR="00847385">
          <w:type w:val="continuous"/>
          <w:pgSz w:w="11906" w:h="16838"/>
          <w:pgMar w:top="1417" w:right="1417" w:bottom="1417" w:left="1417" w:header="708" w:footer="708" w:gutter="0"/>
          <w:cols w:space="720"/>
        </w:sectPr>
      </w:pPr>
    </w:p>
    <w:tbl>
      <w:tblPr>
        <w:tblW w:w="19440" w:type="dxa"/>
        <w:jc w:val="center"/>
        <w:tblLayout w:type="fixed"/>
        <w:tblLook w:val="0420" w:firstRow="1" w:lastRow="0" w:firstColumn="0" w:lastColumn="0" w:noHBand="0" w:noVBand="1"/>
      </w:tblPr>
      <w:tblGrid>
        <w:gridCol w:w="1567"/>
        <w:gridCol w:w="1642"/>
        <w:gridCol w:w="1129"/>
        <w:gridCol w:w="2459"/>
        <w:gridCol w:w="2620"/>
        <w:gridCol w:w="2368"/>
        <w:gridCol w:w="2452"/>
        <w:gridCol w:w="2400"/>
        <w:gridCol w:w="2803"/>
      </w:tblGrid>
      <w:tr w:rsidR="00847385" w14:paraId="3503DECF" w14:textId="77777777" w:rsidTr="001D7743">
        <w:trPr>
          <w:tblHeader/>
          <w:jc w:val="center"/>
        </w:trPr>
        <w:tc>
          <w:tcPr>
            <w:tcW w:w="20551" w:type="dxa"/>
            <w:gridSpan w:val="9"/>
            <w:tcBorders>
              <w:top w:val="single" w:sz="8" w:space="0" w:color="000000"/>
              <w:left w:val="single" w:sz="8" w:space="0" w:color="000000"/>
              <w:bottom w:val="single" w:sz="12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ECE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lastRenderedPageBreak/>
              <w:t>Table 3. Assay Performance Metrics by Result (valid tests only)</w:t>
            </w:r>
          </w:p>
        </w:tc>
      </w:tr>
      <w:tr w:rsidR="00847385" w14:paraId="3503DED9" w14:textId="77777777" w:rsidTr="001D7743">
        <w:trPr>
          <w:tblHeader/>
          <w:jc w:val="center"/>
        </w:trPr>
        <w:tc>
          <w:tcPr>
            <w:tcW w:w="1656" w:type="dxa"/>
            <w:tcBorders>
              <w:top w:val="single" w:sz="12" w:space="0" w:color="666666"/>
              <w:left w:val="single" w:sz="8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ED0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Assay</w:t>
            </w:r>
          </w:p>
        </w:tc>
        <w:tc>
          <w:tcPr>
            <w:tcW w:w="1736" w:type="dxa"/>
            <w:tcBorders>
              <w:top w:val="single" w:sz="12" w:space="0" w:color="666666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ED1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Result</w:t>
            </w:r>
          </w:p>
        </w:tc>
        <w:tc>
          <w:tcPr>
            <w:tcW w:w="1193" w:type="dxa"/>
            <w:tcBorders>
              <w:top w:val="single" w:sz="12" w:space="0" w:color="666666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ED2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n (%)</w:t>
            </w:r>
          </w:p>
        </w:tc>
        <w:tc>
          <w:tcPr>
            <w:tcW w:w="2600" w:type="dxa"/>
            <w:tcBorders>
              <w:top w:val="single" w:sz="12" w:space="0" w:color="666666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ED3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Fluid Vol (mL) Median [IQR]</w:t>
            </w:r>
          </w:p>
        </w:tc>
        <w:tc>
          <w:tcPr>
            <w:tcW w:w="2770" w:type="dxa"/>
            <w:tcBorders>
              <w:top w:val="single" w:sz="12" w:space="0" w:color="666666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ED4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DNA Conc (ng/µL) Median [IQR]</w:t>
            </w:r>
          </w:p>
        </w:tc>
        <w:tc>
          <w:tcPr>
            <w:tcW w:w="2504" w:type="dxa"/>
            <w:tcBorders>
              <w:top w:val="single" w:sz="12" w:space="0" w:color="666666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ED5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DNA Used (ng) Median [IQR]</w:t>
            </w:r>
          </w:p>
        </w:tc>
        <w:tc>
          <w:tcPr>
            <w:tcW w:w="2592" w:type="dxa"/>
            <w:tcBorders>
              <w:top w:val="single" w:sz="12" w:space="0" w:color="666666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ED6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Average Internal VAF % (n)</w:t>
            </w:r>
          </w:p>
        </w:tc>
        <w:tc>
          <w:tcPr>
            <w:tcW w:w="2537" w:type="dxa"/>
            <w:tcBorders>
              <w:top w:val="single" w:sz="12" w:space="0" w:color="666666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ED7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Specimen Type: Blood n (%)</w:t>
            </w:r>
          </w:p>
        </w:tc>
        <w:tc>
          <w:tcPr>
            <w:tcW w:w="2963" w:type="dxa"/>
            <w:tcBorders>
              <w:top w:val="single" w:sz="12" w:space="0" w:color="666666"/>
              <w:left w:val="none" w:sz="0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ED8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Specimen Type: Cyst Fluid n (%)</w:t>
            </w:r>
          </w:p>
        </w:tc>
      </w:tr>
      <w:tr w:rsidR="00847385" w14:paraId="3503DEE3" w14:textId="77777777" w:rsidTr="001D7743">
        <w:trPr>
          <w:jc w:val="center"/>
        </w:trPr>
        <w:tc>
          <w:tcPr>
            <w:tcW w:w="1656" w:type="dxa"/>
            <w:tcBorders>
              <w:top w:val="single" w:sz="8" w:space="0" w:color="000000"/>
              <w:left w:val="single" w:sz="8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EDA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PIK3CA Multiplex</w:t>
            </w:r>
          </w:p>
        </w:tc>
        <w:tc>
          <w:tcPr>
            <w:tcW w:w="1736" w:type="dxa"/>
            <w:tcBorders>
              <w:top w:val="single" w:sz="8" w:space="0" w:color="000000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EDB" w14:textId="77777777" w:rsidR="00847385" w:rsidRDefault="008473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1193" w:type="dxa"/>
            <w:tcBorders>
              <w:top w:val="single" w:sz="8" w:space="0" w:color="000000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EDC" w14:textId="77777777" w:rsidR="00847385" w:rsidRDefault="008473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2600" w:type="dxa"/>
            <w:tcBorders>
              <w:top w:val="single" w:sz="8" w:space="0" w:color="000000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EDD" w14:textId="77777777" w:rsidR="00847385" w:rsidRDefault="008473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2770" w:type="dxa"/>
            <w:tcBorders>
              <w:top w:val="single" w:sz="8" w:space="0" w:color="000000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EDE" w14:textId="77777777" w:rsidR="00847385" w:rsidRDefault="008473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2504" w:type="dxa"/>
            <w:tcBorders>
              <w:top w:val="single" w:sz="8" w:space="0" w:color="000000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EDF" w14:textId="77777777" w:rsidR="00847385" w:rsidRDefault="008473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2592" w:type="dxa"/>
            <w:tcBorders>
              <w:top w:val="single" w:sz="8" w:space="0" w:color="000000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EE0" w14:textId="77777777" w:rsidR="00847385" w:rsidRDefault="008473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2537" w:type="dxa"/>
            <w:tcBorders>
              <w:top w:val="single" w:sz="8" w:space="0" w:color="000000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EE1" w14:textId="77777777" w:rsidR="00847385" w:rsidRDefault="008473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2963" w:type="dxa"/>
            <w:tcBorders>
              <w:top w:val="single" w:sz="8" w:space="0" w:color="000000"/>
              <w:left w:val="none" w:sz="0" w:space="0" w:color="000000"/>
              <w:bottom w:val="single" w:sz="4" w:space="0" w:color="CCCCCC"/>
              <w:right w:val="single" w:sz="8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EE2" w14:textId="77777777" w:rsidR="00847385" w:rsidRDefault="008473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</w:tr>
      <w:tr w:rsidR="00847385" w14:paraId="3503DEED" w14:textId="77777777" w:rsidTr="001D7743">
        <w:trPr>
          <w:jc w:val="center"/>
        </w:trPr>
        <w:tc>
          <w:tcPr>
            <w:tcW w:w="1656" w:type="dxa"/>
            <w:tcBorders>
              <w:top w:val="single" w:sz="4" w:space="0" w:color="CCCCCC"/>
              <w:left w:val="single" w:sz="8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EE4" w14:textId="77777777" w:rsidR="00847385" w:rsidRDefault="008473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36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EE5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Positive</w:t>
            </w:r>
          </w:p>
        </w:tc>
        <w:tc>
          <w:tcPr>
            <w:tcW w:w="119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EE6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39 (32.8%)</w:t>
            </w:r>
          </w:p>
        </w:tc>
        <w:tc>
          <w:tcPr>
            <w:tcW w:w="260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EE7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8.5 [6.0–10.0]</w:t>
            </w:r>
          </w:p>
        </w:tc>
        <w:tc>
          <w:tcPr>
            <w:tcW w:w="277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EE8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6.0 [1.3–20.9]</w:t>
            </w:r>
          </w:p>
        </w:tc>
        <w:tc>
          <w:tcPr>
            <w:tcW w:w="2504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EE9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39.7 [31.8–60.0]</w:t>
            </w:r>
          </w:p>
        </w:tc>
        <w:tc>
          <w:tcPr>
            <w:tcW w:w="2592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EEA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15.49% (n=39)</w:t>
            </w:r>
          </w:p>
        </w:tc>
        <w:tc>
          <w:tcPr>
            <w:tcW w:w="2537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EEB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2 (5.1%)</w:t>
            </w:r>
          </w:p>
        </w:tc>
        <w:tc>
          <w:tcPr>
            <w:tcW w:w="296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EEC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35 (89.7%)</w:t>
            </w:r>
          </w:p>
        </w:tc>
      </w:tr>
      <w:tr w:rsidR="00847385" w14:paraId="3503DEF7" w14:textId="77777777" w:rsidTr="001D7743">
        <w:trPr>
          <w:jc w:val="center"/>
        </w:trPr>
        <w:tc>
          <w:tcPr>
            <w:tcW w:w="1656" w:type="dxa"/>
            <w:tcBorders>
              <w:top w:val="single" w:sz="4" w:space="0" w:color="CCCCCC"/>
              <w:left w:val="single" w:sz="8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EEE" w14:textId="77777777" w:rsidR="00847385" w:rsidRDefault="008473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36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EEF" w14:textId="77777777" w:rsidR="00847385" w:rsidRPr="001D7743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iCs/>
                <w:color w:val="000000"/>
                <w:sz w:val="16"/>
                <w:szCs w:val="16"/>
              </w:rPr>
            </w:pPr>
            <w:r w:rsidRPr="001D7743">
              <w:rPr>
                <w:rFonts w:ascii="Calibri" w:eastAsia="Calibri" w:hAnsi="Calibri" w:cs="Calibri"/>
                <w:i/>
                <w:iCs/>
                <w:color w:val="000000"/>
                <w:sz w:val="16"/>
                <w:szCs w:val="16"/>
              </w:rPr>
              <w:t xml:space="preserve">  </w:t>
            </w:r>
            <w:proofErr w:type="gramStart"/>
            <w:r w:rsidRPr="001D7743">
              <w:rPr>
                <w:rFonts w:ascii="Calibri" w:eastAsia="Calibri" w:hAnsi="Calibri" w:cs="Calibri"/>
                <w:i/>
                <w:iCs/>
                <w:color w:val="000000"/>
                <w:sz w:val="16"/>
                <w:szCs w:val="16"/>
              </w:rPr>
              <w:t>p.E</w:t>
            </w:r>
            <w:proofErr w:type="gramEnd"/>
            <w:r w:rsidRPr="001D7743">
              <w:rPr>
                <w:rFonts w:ascii="Calibri" w:eastAsia="Calibri" w:hAnsi="Calibri" w:cs="Calibri"/>
                <w:i/>
                <w:iCs/>
                <w:color w:val="000000"/>
                <w:sz w:val="16"/>
                <w:szCs w:val="16"/>
              </w:rPr>
              <w:t>542K</w:t>
            </w:r>
          </w:p>
        </w:tc>
        <w:tc>
          <w:tcPr>
            <w:tcW w:w="119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EF0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14 (35.9%)</w:t>
            </w:r>
          </w:p>
        </w:tc>
        <w:tc>
          <w:tcPr>
            <w:tcW w:w="260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EF1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8.0 [5.2–8.5]</w:t>
            </w:r>
          </w:p>
        </w:tc>
        <w:tc>
          <w:tcPr>
            <w:tcW w:w="277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EF2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2.6 [0.8–7.5]</w:t>
            </w:r>
          </w:p>
        </w:tc>
        <w:tc>
          <w:tcPr>
            <w:tcW w:w="2504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EF3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33.1 [22.5–60.0]</w:t>
            </w:r>
          </w:p>
        </w:tc>
        <w:tc>
          <w:tcPr>
            <w:tcW w:w="2592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EF4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13.37% (n=14)</w:t>
            </w:r>
          </w:p>
        </w:tc>
        <w:tc>
          <w:tcPr>
            <w:tcW w:w="2537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EF5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 (7.1%)</w:t>
            </w:r>
          </w:p>
        </w:tc>
        <w:tc>
          <w:tcPr>
            <w:tcW w:w="296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EF6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12 (85.7%)</w:t>
            </w:r>
          </w:p>
        </w:tc>
      </w:tr>
      <w:tr w:rsidR="00847385" w14:paraId="3503DF01" w14:textId="77777777" w:rsidTr="001D7743">
        <w:trPr>
          <w:jc w:val="center"/>
        </w:trPr>
        <w:tc>
          <w:tcPr>
            <w:tcW w:w="1656" w:type="dxa"/>
            <w:tcBorders>
              <w:top w:val="single" w:sz="4" w:space="0" w:color="CCCCCC"/>
              <w:left w:val="single" w:sz="8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EF8" w14:textId="77777777" w:rsidR="00847385" w:rsidRDefault="008473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36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EF9" w14:textId="77777777" w:rsidR="00847385" w:rsidRPr="001D7743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iCs/>
                <w:color w:val="000000"/>
                <w:sz w:val="16"/>
                <w:szCs w:val="16"/>
              </w:rPr>
            </w:pPr>
            <w:r w:rsidRPr="001D7743">
              <w:rPr>
                <w:rFonts w:ascii="Calibri" w:eastAsia="Calibri" w:hAnsi="Calibri" w:cs="Calibri"/>
                <w:i/>
                <w:iCs/>
                <w:color w:val="000000"/>
                <w:sz w:val="16"/>
                <w:szCs w:val="16"/>
              </w:rPr>
              <w:t xml:space="preserve">  p.E545K</w:t>
            </w:r>
          </w:p>
        </w:tc>
        <w:tc>
          <w:tcPr>
            <w:tcW w:w="119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EFA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17 (43.6%)</w:t>
            </w:r>
          </w:p>
        </w:tc>
        <w:tc>
          <w:tcPr>
            <w:tcW w:w="260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EFB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9.0 [7.0–15.5]</w:t>
            </w:r>
          </w:p>
        </w:tc>
        <w:tc>
          <w:tcPr>
            <w:tcW w:w="277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EFC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12.2 [3.1–26.0]</w:t>
            </w:r>
          </w:p>
        </w:tc>
        <w:tc>
          <w:tcPr>
            <w:tcW w:w="2504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EFD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57.0 [35.9–60.0]</w:t>
            </w:r>
          </w:p>
        </w:tc>
        <w:tc>
          <w:tcPr>
            <w:tcW w:w="2592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EFE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21.93% (n=17)</w:t>
            </w:r>
          </w:p>
        </w:tc>
        <w:tc>
          <w:tcPr>
            <w:tcW w:w="2537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EFF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0 (0.0%)</w:t>
            </w:r>
          </w:p>
        </w:tc>
        <w:tc>
          <w:tcPr>
            <w:tcW w:w="296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00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17 (100.0%)</w:t>
            </w:r>
          </w:p>
        </w:tc>
      </w:tr>
      <w:tr w:rsidR="00847385" w14:paraId="3503DF0B" w14:textId="77777777" w:rsidTr="001D7743">
        <w:trPr>
          <w:jc w:val="center"/>
        </w:trPr>
        <w:tc>
          <w:tcPr>
            <w:tcW w:w="1656" w:type="dxa"/>
            <w:tcBorders>
              <w:top w:val="single" w:sz="4" w:space="0" w:color="CCCCCC"/>
              <w:left w:val="single" w:sz="8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02" w14:textId="77777777" w:rsidR="00847385" w:rsidRDefault="008473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36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03" w14:textId="77777777" w:rsidR="00847385" w:rsidRPr="001D7743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iCs/>
                <w:color w:val="000000"/>
                <w:sz w:val="16"/>
                <w:szCs w:val="16"/>
              </w:rPr>
            </w:pPr>
            <w:r w:rsidRPr="001D7743">
              <w:rPr>
                <w:rFonts w:ascii="Calibri" w:eastAsia="Calibri" w:hAnsi="Calibri" w:cs="Calibri"/>
                <w:i/>
                <w:iCs/>
                <w:color w:val="000000"/>
                <w:sz w:val="16"/>
                <w:szCs w:val="16"/>
              </w:rPr>
              <w:t xml:space="preserve">  p.H1047R</w:t>
            </w:r>
          </w:p>
        </w:tc>
        <w:tc>
          <w:tcPr>
            <w:tcW w:w="119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04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8 (20.5%)</w:t>
            </w:r>
          </w:p>
        </w:tc>
        <w:tc>
          <w:tcPr>
            <w:tcW w:w="260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05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4.0 [3.0–9.5]</w:t>
            </w:r>
          </w:p>
        </w:tc>
        <w:tc>
          <w:tcPr>
            <w:tcW w:w="277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06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3.7 [2.1–8.8]</w:t>
            </w:r>
          </w:p>
        </w:tc>
        <w:tc>
          <w:tcPr>
            <w:tcW w:w="2504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07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37.6 [33.5–55.1]</w:t>
            </w:r>
          </w:p>
        </w:tc>
        <w:tc>
          <w:tcPr>
            <w:tcW w:w="2592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08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5.53% (n=8)</w:t>
            </w:r>
          </w:p>
        </w:tc>
        <w:tc>
          <w:tcPr>
            <w:tcW w:w="2537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09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 (12.5%)</w:t>
            </w:r>
          </w:p>
        </w:tc>
        <w:tc>
          <w:tcPr>
            <w:tcW w:w="296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0A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6 (75.0%)</w:t>
            </w:r>
          </w:p>
        </w:tc>
      </w:tr>
      <w:tr w:rsidR="00847385" w14:paraId="3503DF15" w14:textId="77777777" w:rsidTr="001D7743">
        <w:trPr>
          <w:jc w:val="center"/>
        </w:trPr>
        <w:tc>
          <w:tcPr>
            <w:tcW w:w="1656" w:type="dxa"/>
            <w:tcBorders>
              <w:top w:val="single" w:sz="4" w:space="0" w:color="CCCCCC"/>
              <w:left w:val="single" w:sz="8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0C" w14:textId="77777777" w:rsidR="00847385" w:rsidRDefault="008473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36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0D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Negative</w:t>
            </w:r>
          </w:p>
        </w:tc>
        <w:tc>
          <w:tcPr>
            <w:tcW w:w="119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0E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80 (67.2%)</w:t>
            </w:r>
          </w:p>
        </w:tc>
        <w:tc>
          <w:tcPr>
            <w:tcW w:w="260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0F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8.0 [4.8–10.2]</w:t>
            </w:r>
          </w:p>
        </w:tc>
        <w:tc>
          <w:tcPr>
            <w:tcW w:w="277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10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4.0 [0.9–36.5]</w:t>
            </w:r>
          </w:p>
        </w:tc>
        <w:tc>
          <w:tcPr>
            <w:tcW w:w="2504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11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48.0 [21.9–60.0]</w:t>
            </w:r>
          </w:p>
        </w:tc>
        <w:tc>
          <w:tcPr>
            <w:tcW w:w="2592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12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—</w:t>
            </w:r>
          </w:p>
        </w:tc>
        <w:tc>
          <w:tcPr>
            <w:tcW w:w="2537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13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32 (40.0%)</w:t>
            </w:r>
          </w:p>
        </w:tc>
        <w:tc>
          <w:tcPr>
            <w:tcW w:w="296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14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47 (58.8%)</w:t>
            </w:r>
          </w:p>
        </w:tc>
      </w:tr>
      <w:tr w:rsidR="00847385" w14:paraId="3503DF1F" w14:textId="77777777" w:rsidTr="001D7743">
        <w:trPr>
          <w:jc w:val="center"/>
        </w:trPr>
        <w:tc>
          <w:tcPr>
            <w:tcW w:w="1656" w:type="dxa"/>
            <w:tcBorders>
              <w:top w:val="single" w:sz="4" w:space="0" w:color="CCCCCC"/>
              <w:left w:val="single" w:sz="8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16" w14:textId="77777777" w:rsidR="00847385" w:rsidRDefault="008473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</w:p>
        </w:tc>
        <w:tc>
          <w:tcPr>
            <w:tcW w:w="1736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17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  <w:t>p-value</w:t>
            </w:r>
          </w:p>
        </w:tc>
        <w:tc>
          <w:tcPr>
            <w:tcW w:w="119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18" w14:textId="77777777" w:rsidR="00847385" w:rsidRDefault="008473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</w:p>
        </w:tc>
        <w:tc>
          <w:tcPr>
            <w:tcW w:w="260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19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  <w:t>0.343</w:t>
            </w:r>
          </w:p>
        </w:tc>
        <w:tc>
          <w:tcPr>
            <w:tcW w:w="277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1A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  <w:t>0.788</w:t>
            </w:r>
          </w:p>
        </w:tc>
        <w:tc>
          <w:tcPr>
            <w:tcW w:w="2504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1B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  <w:t>0.930</w:t>
            </w:r>
          </w:p>
        </w:tc>
        <w:tc>
          <w:tcPr>
            <w:tcW w:w="2592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1C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  <w:t>—</w:t>
            </w:r>
          </w:p>
        </w:tc>
        <w:tc>
          <w:tcPr>
            <w:tcW w:w="2537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1D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  <w:t>&lt;0.001</w:t>
            </w:r>
          </w:p>
        </w:tc>
        <w:tc>
          <w:tcPr>
            <w:tcW w:w="296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1E" w14:textId="77777777" w:rsidR="00847385" w:rsidRDefault="008473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</w:p>
        </w:tc>
      </w:tr>
      <w:tr w:rsidR="00847385" w14:paraId="3503DF29" w14:textId="77777777" w:rsidTr="001D7743">
        <w:trPr>
          <w:jc w:val="center"/>
        </w:trPr>
        <w:tc>
          <w:tcPr>
            <w:tcW w:w="1656" w:type="dxa"/>
            <w:tcBorders>
              <w:top w:val="single" w:sz="4" w:space="0" w:color="CCCCCC"/>
              <w:left w:val="single" w:sz="8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20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TEK</w:t>
            </w:r>
          </w:p>
        </w:tc>
        <w:tc>
          <w:tcPr>
            <w:tcW w:w="1736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21" w14:textId="77777777" w:rsidR="00847385" w:rsidRDefault="008473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119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22" w14:textId="77777777" w:rsidR="00847385" w:rsidRDefault="008473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260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23" w14:textId="77777777" w:rsidR="00847385" w:rsidRDefault="008473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277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24" w14:textId="77777777" w:rsidR="00847385" w:rsidRDefault="008473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2504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25" w14:textId="77777777" w:rsidR="00847385" w:rsidRDefault="008473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2592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26" w14:textId="77777777" w:rsidR="00847385" w:rsidRDefault="008473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2537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27" w14:textId="77777777" w:rsidR="00847385" w:rsidRDefault="008473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296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single" w:sz="8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28" w14:textId="77777777" w:rsidR="00847385" w:rsidRDefault="008473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</w:tr>
      <w:tr w:rsidR="00847385" w14:paraId="3503DF33" w14:textId="77777777" w:rsidTr="001D7743">
        <w:trPr>
          <w:jc w:val="center"/>
        </w:trPr>
        <w:tc>
          <w:tcPr>
            <w:tcW w:w="1656" w:type="dxa"/>
            <w:tcBorders>
              <w:top w:val="single" w:sz="4" w:space="0" w:color="CCCCCC"/>
              <w:left w:val="single" w:sz="8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2A" w14:textId="77777777" w:rsidR="00847385" w:rsidRDefault="008473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36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2B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Positive (p.L914F)</w:t>
            </w:r>
          </w:p>
        </w:tc>
        <w:tc>
          <w:tcPr>
            <w:tcW w:w="119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2C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5 (45.5%)</w:t>
            </w:r>
          </w:p>
        </w:tc>
        <w:tc>
          <w:tcPr>
            <w:tcW w:w="260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2D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4.0 [4.0–10.5]</w:t>
            </w:r>
          </w:p>
        </w:tc>
        <w:tc>
          <w:tcPr>
            <w:tcW w:w="277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2E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1.6 [0.2–1.8]</w:t>
            </w:r>
          </w:p>
        </w:tc>
        <w:tc>
          <w:tcPr>
            <w:tcW w:w="2504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2F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28.6 [6.1–48.0]</w:t>
            </w:r>
          </w:p>
        </w:tc>
        <w:tc>
          <w:tcPr>
            <w:tcW w:w="2592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30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7.48% (n=5)</w:t>
            </w:r>
          </w:p>
        </w:tc>
        <w:tc>
          <w:tcPr>
            <w:tcW w:w="2537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31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5 (100.0%)</w:t>
            </w:r>
          </w:p>
        </w:tc>
        <w:tc>
          <w:tcPr>
            <w:tcW w:w="296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32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0 (0.0%)</w:t>
            </w:r>
          </w:p>
        </w:tc>
      </w:tr>
      <w:tr w:rsidR="00847385" w14:paraId="3503DF3D" w14:textId="77777777" w:rsidTr="001D7743">
        <w:trPr>
          <w:jc w:val="center"/>
        </w:trPr>
        <w:tc>
          <w:tcPr>
            <w:tcW w:w="1656" w:type="dxa"/>
            <w:tcBorders>
              <w:top w:val="single" w:sz="4" w:space="0" w:color="CCCCCC"/>
              <w:left w:val="single" w:sz="8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34" w14:textId="77777777" w:rsidR="00847385" w:rsidRDefault="008473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36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35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Negative</w:t>
            </w:r>
          </w:p>
        </w:tc>
        <w:tc>
          <w:tcPr>
            <w:tcW w:w="119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36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6 (54.5%)</w:t>
            </w:r>
          </w:p>
        </w:tc>
        <w:tc>
          <w:tcPr>
            <w:tcW w:w="260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37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10.0 [9.5–10.0]</w:t>
            </w:r>
          </w:p>
        </w:tc>
        <w:tc>
          <w:tcPr>
            <w:tcW w:w="277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38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1.4 [0.6–2.0]</w:t>
            </w:r>
          </w:p>
        </w:tc>
        <w:tc>
          <w:tcPr>
            <w:tcW w:w="2504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39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38.8 [18.3–55.4]</w:t>
            </w:r>
          </w:p>
        </w:tc>
        <w:tc>
          <w:tcPr>
            <w:tcW w:w="2592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3A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—</w:t>
            </w:r>
          </w:p>
        </w:tc>
        <w:tc>
          <w:tcPr>
            <w:tcW w:w="2537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3B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6 (100.0%)</w:t>
            </w:r>
          </w:p>
        </w:tc>
        <w:tc>
          <w:tcPr>
            <w:tcW w:w="296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3C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0 (0.0%)</w:t>
            </w:r>
          </w:p>
        </w:tc>
      </w:tr>
      <w:tr w:rsidR="00847385" w14:paraId="3503DF47" w14:textId="77777777" w:rsidTr="001D7743">
        <w:trPr>
          <w:jc w:val="center"/>
        </w:trPr>
        <w:tc>
          <w:tcPr>
            <w:tcW w:w="1656" w:type="dxa"/>
            <w:tcBorders>
              <w:top w:val="single" w:sz="4" w:space="0" w:color="CCCCCC"/>
              <w:left w:val="single" w:sz="8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3E" w14:textId="77777777" w:rsidR="00847385" w:rsidRDefault="008473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</w:p>
        </w:tc>
        <w:tc>
          <w:tcPr>
            <w:tcW w:w="1736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3F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  <w:t>p-value</w:t>
            </w:r>
          </w:p>
        </w:tc>
        <w:tc>
          <w:tcPr>
            <w:tcW w:w="119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40" w14:textId="77777777" w:rsidR="00847385" w:rsidRDefault="008473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</w:p>
        </w:tc>
        <w:tc>
          <w:tcPr>
            <w:tcW w:w="260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41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  <w:t>0.525</w:t>
            </w:r>
          </w:p>
        </w:tc>
        <w:tc>
          <w:tcPr>
            <w:tcW w:w="277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42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  <w:t>0.522</w:t>
            </w:r>
          </w:p>
        </w:tc>
        <w:tc>
          <w:tcPr>
            <w:tcW w:w="2504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43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  <w:t>0.315</w:t>
            </w:r>
          </w:p>
        </w:tc>
        <w:tc>
          <w:tcPr>
            <w:tcW w:w="2592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44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  <w:t>—</w:t>
            </w:r>
          </w:p>
        </w:tc>
        <w:tc>
          <w:tcPr>
            <w:tcW w:w="2537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45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  <w:t>--</w:t>
            </w:r>
          </w:p>
        </w:tc>
        <w:tc>
          <w:tcPr>
            <w:tcW w:w="296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46" w14:textId="77777777" w:rsidR="00847385" w:rsidRDefault="008473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</w:p>
        </w:tc>
      </w:tr>
      <w:tr w:rsidR="00847385" w14:paraId="3503DF51" w14:textId="77777777" w:rsidTr="001D7743">
        <w:trPr>
          <w:jc w:val="center"/>
        </w:trPr>
        <w:tc>
          <w:tcPr>
            <w:tcW w:w="1656" w:type="dxa"/>
            <w:tcBorders>
              <w:top w:val="single" w:sz="4" w:space="0" w:color="CCCCCC"/>
              <w:left w:val="single" w:sz="8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48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BRAF</w:t>
            </w:r>
          </w:p>
        </w:tc>
        <w:tc>
          <w:tcPr>
            <w:tcW w:w="1736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49" w14:textId="77777777" w:rsidR="00847385" w:rsidRDefault="008473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119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4A" w14:textId="77777777" w:rsidR="00847385" w:rsidRDefault="008473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260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4B" w14:textId="77777777" w:rsidR="00847385" w:rsidRDefault="008473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277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4C" w14:textId="77777777" w:rsidR="00847385" w:rsidRDefault="008473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2504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4D" w14:textId="77777777" w:rsidR="00847385" w:rsidRDefault="008473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2592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4E" w14:textId="77777777" w:rsidR="00847385" w:rsidRDefault="008473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2537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4F" w14:textId="77777777" w:rsidR="00847385" w:rsidRDefault="008473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296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single" w:sz="8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50" w14:textId="77777777" w:rsidR="00847385" w:rsidRDefault="008473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</w:tr>
      <w:tr w:rsidR="00847385" w14:paraId="3503DF5B" w14:textId="77777777" w:rsidTr="001D7743">
        <w:trPr>
          <w:jc w:val="center"/>
        </w:trPr>
        <w:tc>
          <w:tcPr>
            <w:tcW w:w="1656" w:type="dxa"/>
            <w:tcBorders>
              <w:top w:val="single" w:sz="4" w:space="0" w:color="CCCCCC"/>
              <w:left w:val="single" w:sz="8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52" w14:textId="77777777" w:rsidR="00847385" w:rsidRDefault="008473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36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53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Positive (p.V600E)</w:t>
            </w:r>
          </w:p>
        </w:tc>
        <w:tc>
          <w:tcPr>
            <w:tcW w:w="119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54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 (16.7%)</w:t>
            </w:r>
          </w:p>
        </w:tc>
        <w:tc>
          <w:tcPr>
            <w:tcW w:w="260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55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18.5 [18.5–18.5]</w:t>
            </w:r>
          </w:p>
        </w:tc>
        <w:tc>
          <w:tcPr>
            <w:tcW w:w="277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56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59.0 [59.0–59.0]</w:t>
            </w:r>
          </w:p>
        </w:tc>
        <w:tc>
          <w:tcPr>
            <w:tcW w:w="2504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57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60.0 [60.0–60.0]</w:t>
            </w:r>
          </w:p>
        </w:tc>
        <w:tc>
          <w:tcPr>
            <w:tcW w:w="2592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58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12.00% (n=1)</w:t>
            </w:r>
          </w:p>
        </w:tc>
        <w:tc>
          <w:tcPr>
            <w:tcW w:w="2537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59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0 (0.0%)</w:t>
            </w:r>
          </w:p>
        </w:tc>
        <w:tc>
          <w:tcPr>
            <w:tcW w:w="296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5A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 (100.0%)</w:t>
            </w:r>
          </w:p>
        </w:tc>
      </w:tr>
      <w:tr w:rsidR="00847385" w14:paraId="3503DF65" w14:textId="77777777" w:rsidTr="001D7743">
        <w:trPr>
          <w:jc w:val="center"/>
        </w:trPr>
        <w:tc>
          <w:tcPr>
            <w:tcW w:w="1656" w:type="dxa"/>
            <w:tcBorders>
              <w:top w:val="single" w:sz="4" w:space="0" w:color="CCCCCC"/>
              <w:left w:val="single" w:sz="8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5C" w14:textId="77777777" w:rsidR="00847385" w:rsidRDefault="008473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36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5D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Negative</w:t>
            </w:r>
          </w:p>
        </w:tc>
        <w:tc>
          <w:tcPr>
            <w:tcW w:w="119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5E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5 (83.3%)</w:t>
            </w:r>
          </w:p>
        </w:tc>
        <w:tc>
          <w:tcPr>
            <w:tcW w:w="260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5F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9.8 [5.0–10.0]</w:t>
            </w:r>
          </w:p>
        </w:tc>
        <w:tc>
          <w:tcPr>
            <w:tcW w:w="277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60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45.0 [9.3–142.0]</w:t>
            </w:r>
          </w:p>
        </w:tc>
        <w:tc>
          <w:tcPr>
            <w:tcW w:w="2504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61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57.8 [50.5–64.5]</w:t>
            </w:r>
          </w:p>
        </w:tc>
        <w:tc>
          <w:tcPr>
            <w:tcW w:w="2592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62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—</w:t>
            </w:r>
          </w:p>
        </w:tc>
        <w:tc>
          <w:tcPr>
            <w:tcW w:w="2537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63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2 (40.0%)</w:t>
            </w:r>
          </w:p>
        </w:tc>
        <w:tc>
          <w:tcPr>
            <w:tcW w:w="296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64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3 (60.0%)</w:t>
            </w:r>
          </w:p>
        </w:tc>
      </w:tr>
      <w:tr w:rsidR="00847385" w14:paraId="3503DF6F" w14:textId="77777777" w:rsidTr="001D7743">
        <w:trPr>
          <w:jc w:val="center"/>
        </w:trPr>
        <w:tc>
          <w:tcPr>
            <w:tcW w:w="1656" w:type="dxa"/>
            <w:tcBorders>
              <w:top w:val="single" w:sz="4" w:space="0" w:color="CCCCCC"/>
              <w:left w:val="single" w:sz="8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66" w14:textId="77777777" w:rsidR="00847385" w:rsidRDefault="008473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</w:p>
        </w:tc>
        <w:tc>
          <w:tcPr>
            <w:tcW w:w="1736" w:type="dxa"/>
            <w:tcBorders>
              <w:top w:val="single" w:sz="4" w:space="0" w:color="CCCCCC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67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  <w:t>p-value</w:t>
            </w:r>
          </w:p>
        </w:tc>
        <w:tc>
          <w:tcPr>
            <w:tcW w:w="1193" w:type="dxa"/>
            <w:tcBorders>
              <w:top w:val="single" w:sz="4" w:space="0" w:color="CCCCCC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68" w14:textId="77777777" w:rsidR="00847385" w:rsidRDefault="008473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</w:p>
        </w:tc>
        <w:tc>
          <w:tcPr>
            <w:tcW w:w="2600" w:type="dxa"/>
            <w:tcBorders>
              <w:top w:val="single" w:sz="4" w:space="0" w:color="CCCCCC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69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  <w:t>--</w:t>
            </w:r>
          </w:p>
        </w:tc>
        <w:tc>
          <w:tcPr>
            <w:tcW w:w="2770" w:type="dxa"/>
            <w:tcBorders>
              <w:top w:val="single" w:sz="4" w:space="0" w:color="CCCCCC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6A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  <w:t>--</w:t>
            </w:r>
          </w:p>
        </w:tc>
        <w:tc>
          <w:tcPr>
            <w:tcW w:w="2504" w:type="dxa"/>
            <w:tcBorders>
              <w:top w:val="single" w:sz="4" w:space="0" w:color="CCCCCC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6B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  <w:t>--</w:t>
            </w:r>
          </w:p>
        </w:tc>
        <w:tc>
          <w:tcPr>
            <w:tcW w:w="2592" w:type="dxa"/>
            <w:tcBorders>
              <w:top w:val="single" w:sz="4" w:space="0" w:color="CCCCCC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6C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  <w:t>—</w:t>
            </w:r>
          </w:p>
        </w:tc>
        <w:tc>
          <w:tcPr>
            <w:tcW w:w="2537" w:type="dxa"/>
            <w:tcBorders>
              <w:top w:val="single" w:sz="4" w:space="0" w:color="CCCCCC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6D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  <w:t>1.000</w:t>
            </w:r>
          </w:p>
        </w:tc>
        <w:tc>
          <w:tcPr>
            <w:tcW w:w="2963" w:type="dxa"/>
            <w:tcBorders>
              <w:top w:val="single" w:sz="4" w:space="0" w:color="CCCCCC"/>
              <w:left w:val="none" w:sz="0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6E" w14:textId="77777777" w:rsidR="00847385" w:rsidRDefault="008473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</w:p>
        </w:tc>
      </w:tr>
      <w:tr w:rsidR="00847385" w14:paraId="3503DF71" w14:textId="77777777" w:rsidTr="001D7743">
        <w:trPr>
          <w:jc w:val="center"/>
        </w:trPr>
        <w:tc>
          <w:tcPr>
            <w:tcW w:w="20551" w:type="dxa"/>
            <w:gridSpan w:val="9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3DF70" w14:textId="77777777" w:rsidR="00847385" w:rsidRDefault="00297A5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595959"/>
                <w:sz w:val="16"/>
                <w:szCs w:val="16"/>
              </w:rPr>
              <w:t>IQR = interquartile range. VAF = variant allele frequency. Continuous metrics reported as Median [IQR]; VAF reported as mean (n contributing). Specimen type breakdown reflects tests within each result group. p-values: Mann-Whitney U test for continuous variables; Fisher's exact test for specimen type (Blood vs Cyst Fluid). VAF not statistically compared (negatives have no detected variant by definition). PIK3CA variant sub-row percentages are of PIK3CA Positive tests.</w:t>
            </w:r>
          </w:p>
        </w:tc>
      </w:tr>
    </w:tbl>
    <w:p w14:paraId="3503DF72" w14:textId="77777777" w:rsidR="00847385" w:rsidRDefault="00847385">
      <w:pPr>
        <w:sectPr w:rsidR="00847385" w:rsidSect="00AD29B9">
          <w:type w:val="oddPage"/>
          <w:pgSz w:w="20160" w:h="12240" w:orient="landscape"/>
          <w:pgMar w:top="1417" w:right="1417" w:bottom="1417" w:left="1417" w:header="708" w:footer="708" w:gutter="0"/>
          <w:cols w:space="720"/>
          <w:docGrid w:linePitch="326"/>
        </w:sectPr>
      </w:pPr>
    </w:p>
    <w:p w14:paraId="3503DF73" w14:textId="77777777" w:rsidR="00297A5B" w:rsidRDefault="00297A5B"/>
    <w:sectPr w:rsidR="00297A5B" w:rsidSect="00AD29B9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83039437">
    <w:abstractNumId w:val="1"/>
  </w:num>
  <w:num w:numId="2" w16cid:durableId="1270772269">
    <w:abstractNumId w:val="2"/>
  </w:num>
  <w:num w:numId="3" w16cid:durableId="745230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385"/>
    <w:rsid w:val="001D1068"/>
    <w:rsid w:val="001D7743"/>
    <w:rsid w:val="00297A5B"/>
    <w:rsid w:val="00847385"/>
    <w:rsid w:val="00AD2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03DECC"/>
  <w15:docId w15:val="{5E2307E1-04E6-ED47-BA26-A9DA5B72A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046da4d3-ba20-4986-879c-49e262eff745}" enabled="1" method="Standard" siteId="{9f693e63-5e9e-4ced-98a4-8ab28f9d0c2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Solomon Johnson</cp:lastModifiedBy>
  <cp:revision>11</cp:revision>
  <dcterms:created xsi:type="dcterms:W3CDTF">2017-02-28T11:18:00Z</dcterms:created>
  <dcterms:modified xsi:type="dcterms:W3CDTF">2026-05-06T21:51:00Z</dcterms:modified>
  <cp:category/>
</cp:coreProperties>
</file>