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69"/>
        <w:gridCol w:w="1389"/>
      </w:tblGrid>
      <w:tr>
        <w:trPr>
          <w:trHeight w:val="590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4. Clinical Impact of Test Results (Total patients assessed, N = 39)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Clinical Action / Outcome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Any documented management change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(15.4%)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Targeted therapy initiated (e.g., alpelisib, sirolimus)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(2.6%)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Existing therapy modified or dose-adjusted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(0.0%)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Surgical or procedural plan changed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(5.1%)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No documented management change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(84.6%)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Management documentation unavailable / not reported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(0.0%)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 who underwent additional testing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(12.8%)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Clinical actions were assessed in internally managed patients with valid (non-QNS, non-cancelled) results, as complete clinical documentation was available only for this subgroup. Y and VAN counted as positive for additional testing. Blank entries excluded from denominators. Targeted therapies listed are examples; actual agents confirmed by chart review.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2026-05-11T13:59:25Z</dcterms:modified>
  <cp:category/>
</cp:coreProperties>
</file>