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b w:val="true"/>
          <w:rFonts w:ascii="Calibri" w:hAnsi="Calibri"/>
          <w:sz w:val="24"/>
          <w:color w:val="333333"/>
        </w:rPr>
        <w:t xml:space="preserve">Sensitivity Analysis 3 — Maximum Specificity</w:t>
      </w:r>
    </w:p>
    <w:p>
      <w:pPr>
        <w:spacing w:before="0" w:after="60"/>
        <w:keepNext/>
        <w:jc w:val="start"/>
        <w:pStyle w:val="caption"/>
      </w:pPr>
      <w:r>
        <w:rPr>
          <w:i/>
          <w:rFonts w:ascii="Calibri" w:hAnsi="Calibri"/>
          <w:sz w:val="20"/>
          <w:color w:val="333333"/>
        </w:rPr>
        <w:t xml:space="preserve">Laterality-specified nerve + anatomic wound + external cause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  <w:shd w:val="clear" w:color="auto" w:fill="EBF4FB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Metric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  <w:shd w:val="clear" w:color="auto" w:fill="EBF4FB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Group 1 unweighted 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126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Group 1 weighted 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160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Group 2 unweighted 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Group 2 weighted 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Group 3 unweighted 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Group 3 weighted 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Overall repair rate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51.2%</w:t>
            </w:r>
          </w:p>
        </w:tc>
      </w:tr>
      <w:tr>
        <w:trPr>
          <w:cantSplit/>
        </w:trPr>
        <w:tc>
          <w:tcPr>
            <w:gridSpan w:val="2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Laterality-specified facial nerve injury (S04.51* or S04.52*) co-occurring with anatomically concordant wound (S01.1*, S01.3*, S01.4*, S01.5*, S01.81*) AND external cause code (W25–W27, W45, X99, Y28, V01–V99). Group 2 = Group 1 + CPT 64864, 64865, 64885, or 64886. External cause code completeness varies by institution and year. HCUP NASS 2016–2023. Weighted estimates use DISCWT.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2026-04-28T23:17:36Z</dcterms:created>
  <dcterms:modified xsi:type="dcterms:W3CDTF">2026-04-28T23:17:36Z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