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Charge Analysis: Repair vs No Repair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Repair Median (IQR)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Median (IQR)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value (no repair: within-group)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 value (repair: within-group)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charges of encounter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$27,424 ($11,979–$43,230)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$32,902 ($21,165–$50,637)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0.105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$23,604 ($9,720–$27,719)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$33,028 ($24,297–$50,678)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$33,814 ($16,080–$52,061)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$37,675 ($23,669–$55,050)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$23,780 ($10,125–$35,442)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$28,542 ($17,087–$47,136)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$34,897 ($10,347–$64,838)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$41,870 ($27,323–$72,532)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$34,999 ($23,017–$47,131)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$33,875 ($26,361–$45,450)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$11,979 ($9,305–$25,078)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$29,505 ($21,149–$35,050)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$29,833 ($15,537–$48,064)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$34,097 ($21,282–$51,094)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Median (IQR) weighted national estimates. HCUP NASS 2016–2023. Insurance type p-values: survey-weighted ANOVA on log-charges within no-repair group and within repair group separately. Teaching status p-values: survey-weighted t-test comparing Nonteaching vs Teaching within each group.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2026-04-28T04:26:16Z</dcterms:created>
  <dcterms:modified xsi:type="dcterms:W3CDTF">2026-04-28T04:26:16Z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