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Mechanism of Injury Distribution — Group 1 Encounters</w:t>
      </w:r>
    </w:p>
    <w:p>
      <w:pPr>
        <w:spacing w:before="0" w:after="60"/>
        <w:keepNext/>
        <w:jc w:val="start"/>
        <w:pStyle w:val="caption"/>
      </w:pPr>
      <w:r>
        <w:rPr>
          <w:i/>
          <w:rFonts w:ascii="Calibri" w:hAnsi="Calibri"/>
          <w:sz w:val="20"/>
          <w:color w:val="333333"/>
        </w:rPr>
        <w:t xml:space="preserve">HCUP NASS 2016–2023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  <w:shd w:val="clear" w:color="auto" w:fill="EBF4FB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Mechanism of injury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EBF4F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Unweighted 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EBF4F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Weighted 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EBF4F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Repair (unweighted N)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EBF4F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Repair (weighted N)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EBF4F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% of Group 1 (unweighted)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shd w:val="clear" w:color="auto" w:fill="EBF4F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% of Group 1 (weighted)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shd w:val="clear" w:color="auto" w:fill="EBF4F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Repair rate (%)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Assault by sharp object (X99)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59.1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Assault other (X9*, Y0*)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Self-harm (X71–X83)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Transport-related (V01–V99)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Cutting/piercing accident (W25–W27, W45)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Fall (W00–W19)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Animal-related (W50–W64)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external cause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external cause coded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74.8</w:t>
            </w:r>
          </w:p>
        </w:tc>
      </w:tr>
      <w:tr>
        <w:trPr>
          <w:cantSplit/>
        </w:trPr>
        <w:tc>
          <w:tcP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Each Group 1 encounter classified by its most specific external cause code (V01–Y99) using a clinical hierarchy. 83.4% of Group 1 encounters carried at least one external cause code. Per HCUP DUA, categories with unweighted N &lt;11 are suppressed. Weighted estimates use DISCWT.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2026-05-01T04:17:30Z</dcterms:created>
  <dcterms:modified xsi:type="dcterms:W3CDTF">2026-05-01T04:17:30Z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