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129CC" w14:textId="73BEF42C" w:rsidR="00174110" w:rsidRDefault="00174110"/>
    <w:tbl>
      <w:tblPr>
        <w:tblStyle w:val="TableGrid"/>
        <w:tblpPr w:leftFromText="141" w:rightFromText="141" w:vertAnchor="text" w:horzAnchor="margin" w:tblpYSpec="bottom"/>
        <w:tblW w:w="0" w:type="auto"/>
        <w:tblLook w:val="04A0" w:firstRow="1" w:lastRow="0" w:firstColumn="1" w:lastColumn="0" w:noHBand="0" w:noVBand="1"/>
      </w:tblPr>
      <w:tblGrid>
        <w:gridCol w:w="1696"/>
        <w:gridCol w:w="7932"/>
      </w:tblGrid>
      <w:tr w:rsidR="00174110" w14:paraId="6CCF9D9B" w14:textId="77777777" w:rsidTr="000062F8">
        <w:tc>
          <w:tcPr>
            <w:tcW w:w="1696" w:type="dxa"/>
            <w:tcBorders>
              <w:top w:val="nil"/>
              <w:left w:val="nil"/>
              <w:bottom w:val="nil"/>
              <w:right w:val="nil"/>
            </w:tcBorders>
          </w:tcPr>
          <w:p w14:paraId="6B781FC3" w14:textId="77777777" w:rsidR="00174110" w:rsidRPr="00170769" w:rsidRDefault="00174110" w:rsidP="00174110">
            <w:pPr>
              <w:rPr>
                <w:b/>
                <w:bCs/>
              </w:rPr>
            </w:pPr>
            <w:r w:rsidRPr="00170769">
              <w:rPr>
                <w:b/>
                <w:bCs/>
              </w:rPr>
              <w:t>Studente</w:t>
            </w:r>
          </w:p>
        </w:tc>
        <w:tc>
          <w:tcPr>
            <w:tcW w:w="7932" w:type="dxa"/>
            <w:tcBorders>
              <w:top w:val="nil"/>
              <w:left w:val="nil"/>
              <w:bottom w:val="single" w:sz="4" w:space="0" w:color="auto"/>
              <w:right w:val="nil"/>
            </w:tcBorders>
          </w:tcPr>
          <w:p w14:paraId="7A676D0E" w14:textId="05176D8F" w:rsidR="00174110" w:rsidRDefault="00570012" w:rsidP="00174110">
            <w:r>
              <w:t>TAIWO SOLOMON OLAMIDE</w:t>
            </w:r>
          </w:p>
        </w:tc>
      </w:tr>
      <w:tr w:rsidR="000062F8" w14:paraId="2FF18327" w14:textId="77777777" w:rsidTr="000062F8">
        <w:tc>
          <w:tcPr>
            <w:tcW w:w="1696" w:type="dxa"/>
            <w:tcBorders>
              <w:top w:val="nil"/>
              <w:left w:val="nil"/>
              <w:bottom w:val="nil"/>
              <w:right w:val="nil"/>
            </w:tcBorders>
          </w:tcPr>
          <w:p w14:paraId="55E10851" w14:textId="7536F72D" w:rsidR="000062F8" w:rsidRPr="00170769" w:rsidRDefault="000062F8" w:rsidP="00174110">
            <w:pPr>
              <w:rPr>
                <w:b/>
                <w:bCs/>
              </w:rPr>
            </w:pPr>
            <w:r w:rsidRPr="00170769">
              <w:rPr>
                <w:b/>
                <w:bCs/>
              </w:rPr>
              <w:t>Matricola n.ro</w:t>
            </w:r>
          </w:p>
        </w:tc>
        <w:tc>
          <w:tcPr>
            <w:tcW w:w="7932" w:type="dxa"/>
            <w:tcBorders>
              <w:top w:val="single" w:sz="4" w:space="0" w:color="auto"/>
              <w:left w:val="nil"/>
              <w:bottom w:val="single" w:sz="4" w:space="0" w:color="auto"/>
              <w:right w:val="nil"/>
            </w:tcBorders>
          </w:tcPr>
          <w:p w14:paraId="3508DC20" w14:textId="549AC2A0" w:rsidR="000062F8" w:rsidRDefault="00570012" w:rsidP="00174110">
            <w:r>
              <w:t>181050</w:t>
            </w:r>
          </w:p>
        </w:tc>
      </w:tr>
      <w:tr w:rsidR="00174110" w14:paraId="048658EC" w14:textId="77777777" w:rsidTr="000062F8">
        <w:tc>
          <w:tcPr>
            <w:tcW w:w="1696" w:type="dxa"/>
            <w:tcBorders>
              <w:top w:val="nil"/>
              <w:left w:val="nil"/>
              <w:bottom w:val="nil"/>
              <w:right w:val="nil"/>
            </w:tcBorders>
          </w:tcPr>
          <w:p w14:paraId="73DE3652" w14:textId="555D3E97" w:rsidR="000062F8" w:rsidRPr="00170769" w:rsidRDefault="000062F8" w:rsidP="00174110">
            <w:pPr>
              <w:rPr>
                <w:b/>
                <w:bCs/>
              </w:rPr>
            </w:pPr>
            <w:r>
              <w:rPr>
                <w:b/>
                <w:bCs/>
              </w:rPr>
              <w:t>Esame del</w:t>
            </w:r>
          </w:p>
        </w:tc>
        <w:tc>
          <w:tcPr>
            <w:tcW w:w="7932" w:type="dxa"/>
            <w:tcBorders>
              <w:top w:val="single" w:sz="4" w:space="0" w:color="auto"/>
              <w:left w:val="nil"/>
              <w:bottom w:val="single" w:sz="4" w:space="0" w:color="auto"/>
              <w:right w:val="nil"/>
            </w:tcBorders>
          </w:tcPr>
          <w:p w14:paraId="2ED6E119" w14:textId="593F3DF4" w:rsidR="00174110" w:rsidRDefault="00570012" w:rsidP="00174110">
            <w:r>
              <w:t>11/01/2024</w:t>
            </w:r>
          </w:p>
        </w:tc>
      </w:tr>
    </w:tbl>
    <w:p w14:paraId="7B7A1B43" w14:textId="63352ADE" w:rsidR="00174110" w:rsidRDefault="00174110"/>
    <w:tbl>
      <w:tblPr>
        <w:tblStyle w:val="TableGrid"/>
        <w:tblW w:w="0" w:type="auto"/>
        <w:tblLook w:val="04A0" w:firstRow="1" w:lastRow="0" w:firstColumn="1" w:lastColumn="0" w:noHBand="0" w:noVBand="1"/>
      </w:tblPr>
      <w:tblGrid>
        <w:gridCol w:w="1843"/>
        <w:gridCol w:w="7785"/>
      </w:tblGrid>
      <w:tr w:rsidR="00570012" w:rsidRPr="00570012" w14:paraId="0480DBED" w14:textId="77777777" w:rsidTr="00377522">
        <w:tc>
          <w:tcPr>
            <w:tcW w:w="1843" w:type="dxa"/>
          </w:tcPr>
          <w:p w14:paraId="3CCFC52F" w14:textId="45D543A2" w:rsidR="00570012" w:rsidRPr="00F5308B" w:rsidRDefault="00570012" w:rsidP="00570012">
            <w:pPr>
              <w:rPr>
                <w:b/>
                <w:bCs/>
              </w:rPr>
            </w:pPr>
            <w:r w:rsidRPr="00F5308B">
              <w:rPr>
                <w:b/>
                <w:bCs/>
              </w:rPr>
              <w:t>Titolo:</w:t>
            </w:r>
          </w:p>
        </w:tc>
        <w:tc>
          <w:tcPr>
            <w:tcW w:w="7785" w:type="dxa"/>
          </w:tcPr>
          <w:p w14:paraId="09CC7A6A" w14:textId="742F74C2" w:rsidR="00570012" w:rsidRPr="00570012" w:rsidRDefault="00570012" w:rsidP="00570012">
            <w:pPr>
              <w:rPr>
                <w:i/>
                <w:iCs/>
                <w:lang w:val="en-US"/>
              </w:rPr>
            </w:pPr>
            <w:r w:rsidRPr="007B64E0">
              <w:rPr>
                <w:lang w:val="en-US"/>
              </w:rPr>
              <w:t>Breaking Barriers: A Journey Towards Equality</w:t>
            </w:r>
          </w:p>
        </w:tc>
      </w:tr>
      <w:tr w:rsidR="00570012" w14:paraId="13A432E1" w14:textId="77777777" w:rsidTr="00377522">
        <w:tc>
          <w:tcPr>
            <w:tcW w:w="1843" w:type="dxa"/>
          </w:tcPr>
          <w:p w14:paraId="5E81B50A" w14:textId="5F25EA54" w:rsidR="00570012" w:rsidRPr="00F5308B" w:rsidRDefault="00570012" w:rsidP="00570012">
            <w:pPr>
              <w:rPr>
                <w:b/>
                <w:bCs/>
              </w:rPr>
            </w:pPr>
            <w:r w:rsidRPr="00F5308B">
              <w:rPr>
                <w:b/>
                <w:bCs/>
              </w:rPr>
              <w:t>Argomento</w:t>
            </w:r>
          </w:p>
        </w:tc>
        <w:tc>
          <w:tcPr>
            <w:tcW w:w="7785" w:type="dxa"/>
          </w:tcPr>
          <w:p w14:paraId="310B2556" w14:textId="5713292E" w:rsidR="00570012" w:rsidRPr="00377522" w:rsidRDefault="00570012" w:rsidP="00570012">
            <w:pPr>
              <w:rPr>
                <w:i/>
                <w:iCs/>
              </w:rPr>
            </w:pPr>
            <w:r w:rsidRPr="007B64E0">
              <w:t>Focus sull’equità di genere nella società odierna. Il progetto parla dello status quo, dei progressi fatti per attenuare le differenze che ancora permangono tra uomini e donne sul posto di lavoro (nello specifico nella retribuzione) e nella vita di tutti i giorni (con compiti che sono visti come prettamente femminili o maschili, senza possibilità di interscambio).</w:t>
            </w:r>
          </w:p>
        </w:tc>
      </w:tr>
      <w:tr w:rsidR="00F5308B" w14:paraId="46C596FD" w14:textId="77777777" w:rsidTr="00377522">
        <w:tc>
          <w:tcPr>
            <w:tcW w:w="1843" w:type="dxa"/>
          </w:tcPr>
          <w:p w14:paraId="1D40A507" w14:textId="4C9B8B75" w:rsidR="00F5308B" w:rsidRPr="00F5308B" w:rsidRDefault="00F5308B">
            <w:pPr>
              <w:rPr>
                <w:b/>
                <w:bCs/>
              </w:rPr>
            </w:pPr>
            <w:r w:rsidRPr="00F5308B">
              <w:rPr>
                <w:b/>
                <w:bCs/>
              </w:rPr>
              <w:t>Obiettivo</w:t>
            </w:r>
          </w:p>
        </w:tc>
        <w:tc>
          <w:tcPr>
            <w:tcW w:w="7785" w:type="dxa"/>
          </w:tcPr>
          <w:p w14:paraId="5407B55D" w14:textId="32C012B3" w:rsidR="00F5308B" w:rsidRPr="00377522" w:rsidRDefault="00570012">
            <w:pPr>
              <w:rPr>
                <w:i/>
                <w:iCs/>
              </w:rPr>
            </w:pPr>
            <w:r w:rsidRPr="007B64E0">
              <w:t xml:space="preserve">L’obiettivo del progetto è quello di sensibilizzare il target della campagna, primariamente utenti giovani che utilizzano social network come YouTube (shorts e video normali), </w:t>
            </w:r>
            <w:proofErr w:type="spellStart"/>
            <w:r w:rsidRPr="007B64E0">
              <w:t>Tiktok</w:t>
            </w:r>
            <w:proofErr w:type="spellEnd"/>
            <w:r w:rsidRPr="007B64E0">
              <w:t xml:space="preserve"> e Instagram </w:t>
            </w:r>
            <w:proofErr w:type="spellStart"/>
            <w:r w:rsidRPr="007B64E0">
              <w:t>Reels</w:t>
            </w:r>
            <w:proofErr w:type="spellEnd"/>
            <w:r w:rsidRPr="007B64E0">
              <w:t xml:space="preserve">, per fargli vedere che esistono ancora differenze tangibili nel trattamento di uomini e donne. Si spera di fargli aprire gli occhi e di fargli implementare nella vita di tutti giorni azioni ed atteggiamenti volti alla non-discriminazione </w:t>
            </w:r>
            <w:proofErr w:type="gramStart"/>
            <w:r w:rsidRPr="007B64E0">
              <w:t>e</w:t>
            </w:r>
            <w:proofErr w:type="gramEnd"/>
            <w:r w:rsidRPr="007B64E0">
              <w:t xml:space="preserve"> all’equità.</w:t>
            </w:r>
          </w:p>
        </w:tc>
      </w:tr>
      <w:tr w:rsidR="00F14DBC" w14:paraId="32018D2A" w14:textId="77777777" w:rsidTr="00377522">
        <w:tc>
          <w:tcPr>
            <w:tcW w:w="1843" w:type="dxa"/>
          </w:tcPr>
          <w:p w14:paraId="3B7E6585" w14:textId="650250D1" w:rsidR="00F14DBC" w:rsidRPr="00F5308B" w:rsidRDefault="00F14DBC">
            <w:pPr>
              <w:rPr>
                <w:b/>
                <w:bCs/>
              </w:rPr>
            </w:pPr>
            <w:r>
              <w:rPr>
                <w:b/>
                <w:bCs/>
              </w:rPr>
              <w:t>Struttura narrativa</w:t>
            </w:r>
          </w:p>
        </w:tc>
        <w:tc>
          <w:tcPr>
            <w:tcW w:w="7785" w:type="dxa"/>
          </w:tcPr>
          <w:p w14:paraId="7B096200" w14:textId="105AAA1B" w:rsidR="00F14DBC" w:rsidRPr="00013E95" w:rsidRDefault="00570012">
            <w:pPr>
              <w:rPr>
                <w:i/>
                <w:iCs/>
              </w:rPr>
            </w:pPr>
            <w:r w:rsidRPr="007B64E0">
              <w:t xml:space="preserve">Il prodotto principale è un narrative </w:t>
            </w:r>
            <w:proofErr w:type="spellStart"/>
            <w:r w:rsidRPr="007B64E0">
              <w:t>essay</w:t>
            </w:r>
            <w:proofErr w:type="spellEnd"/>
            <w:r w:rsidRPr="007B64E0">
              <w:t>, nello stile di vari canali YouTube dedicati alla narrazione di eventi, fatti storici o fenomeni economici (le ispirazioni sono i canali YouTube Real Life Lore, Nova Lectio e Money &amp; Macro). È diviso in quattro capitoli in cui si analizza temporalmente l’evoluzione della società ed i modi in cui essa stessa può svilupparsi in futuro: si parla dunque del problema, delle sue radici storiche, dello stato delle cose ed infine delle possibili soluzioni, per poi concludere con una call for action in cui si invita ad agire nel quotidiano.</w:t>
            </w:r>
          </w:p>
        </w:tc>
      </w:tr>
      <w:tr w:rsidR="00F5308B" w14:paraId="6E65A22E" w14:textId="77777777" w:rsidTr="00377522">
        <w:tc>
          <w:tcPr>
            <w:tcW w:w="1843" w:type="dxa"/>
          </w:tcPr>
          <w:p w14:paraId="253E3876" w14:textId="20384FA9" w:rsidR="00F5308B" w:rsidRPr="00F5308B" w:rsidRDefault="00F5308B">
            <w:pPr>
              <w:rPr>
                <w:b/>
                <w:bCs/>
              </w:rPr>
            </w:pPr>
            <w:r w:rsidRPr="00F5308B">
              <w:rPr>
                <w:b/>
                <w:bCs/>
              </w:rPr>
              <w:t>Tools di sviluppo:</w:t>
            </w:r>
          </w:p>
        </w:tc>
        <w:tc>
          <w:tcPr>
            <w:tcW w:w="7785" w:type="dxa"/>
          </w:tcPr>
          <w:p w14:paraId="5F08C475" w14:textId="3B546BF3" w:rsidR="00F5308B" w:rsidRPr="00013E95" w:rsidRDefault="00570012">
            <w:pPr>
              <w:rPr>
                <w:i/>
                <w:iCs/>
              </w:rPr>
            </w:pPr>
            <w:r w:rsidRPr="007B64E0">
              <w:t xml:space="preserve">Il tool principale utilizzato per lo sviluppo del progetto è stato il sito web </w:t>
            </w:r>
            <w:proofErr w:type="spellStart"/>
            <w:r w:rsidRPr="007B64E0">
              <w:t>Invideo</w:t>
            </w:r>
            <w:proofErr w:type="spellEnd"/>
            <w:r w:rsidRPr="007B64E0">
              <w:t xml:space="preserve"> AI, a cui è stato fornito lo script realizzato da Designs.ai. Il testo, prima di essere stato inserito in </w:t>
            </w:r>
            <w:proofErr w:type="spellStart"/>
            <w:r w:rsidRPr="007B64E0">
              <w:t>Invideo</w:t>
            </w:r>
            <w:proofErr w:type="spellEnd"/>
            <w:r w:rsidRPr="007B64E0">
              <w:t xml:space="preserve"> AI, è stato revisionato da </w:t>
            </w:r>
            <w:proofErr w:type="spellStart"/>
            <w:r w:rsidRPr="007B64E0">
              <w:t>ChatGPT</w:t>
            </w:r>
            <w:proofErr w:type="spellEnd"/>
            <w:r w:rsidRPr="007B64E0">
              <w:t xml:space="preserve">, che ha cambiato il tono dell’elaborato rendendolo più scorrevole. Dopo la generazione del video con </w:t>
            </w:r>
            <w:proofErr w:type="spellStart"/>
            <w:r w:rsidRPr="007B64E0">
              <w:t>Invideo</w:t>
            </w:r>
            <w:proofErr w:type="spellEnd"/>
            <w:r w:rsidRPr="007B64E0">
              <w:t xml:space="preserve"> AI, sono state apportate modifiche di lunghezza, musica di sottofondo e immagini/video utilizzati con il tool integrato di </w:t>
            </w:r>
            <w:proofErr w:type="spellStart"/>
            <w:r w:rsidRPr="007B64E0">
              <w:t>edit</w:t>
            </w:r>
            <w:proofErr w:type="spellEnd"/>
            <w:r w:rsidRPr="007B64E0">
              <w:t xml:space="preserve"> dell’applicativo stesso.</w:t>
            </w:r>
          </w:p>
        </w:tc>
      </w:tr>
      <w:tr w:rsidR="00F5308B" w14:paraId="6F3F6B5A" w14:textId="77777777" w:rsidTr="00377522">
        <w:tc>
          <w:tcPr>
            <w:tcW w:w="1843" w:type="dxa"/>
          </w:tcPr>
          <w:p w14:paraId="4C0BAB35" w14:textId="0B1011F9" w:rsidR="00F5308B" w:rsidRPr="00F5308B" w:rsidRDefault="00DA3574">
            <w:pPr>
              <w:rPr>
                <w:b/>
                <w:bCs/>
              </w:rPr>
            </w:pPr>
            <w:r>
              <w:rPr>
                <w:b/>
                <w:bCs/>
              </w:rPr>
              <w:t>Struttura</w:t>
            </w:r>
          </w:p>
        </w:tc>
        <w:tc>
          <w:tcPr>
            <w:tcW w:w="7785" w:type="dxa"/>
          </w:tcPr>
          <w:p w14:paraId="3DD85E7B" w14:textId="77777777" w:rsidR="00570012" w:rsidRPr="007B64E0" w:rsidRDefault="00570012" w:rsidP="00570012">
            <w:pPr>
              <w:spacing w:after="8" w:line="216" w:lineRule="auto"/>
              <w:ind w:left="14" w:right="372"/>
              <w:jc w:val="both"/>
            </w:pPr>
            <w:r w:rsidRPr="007B64E0">
              <w:t>Il progetto è complessivamente costituito da tre elementi. Il prodotto numero uno è il video principale, diviso in quattro capitoli: nel primo si presenta la tematica del patriarcato e si illustra come questo fenomeno sia radicato nella società da svariati secoli, poi nel secondo capitolo il focus passa alla storia contemporanea e a come oggi il tema sia trattato e vissuto, mentre nel terzo si descrive come in futuro l’argomento deve essere affrontato e sradicato da ogni livello della società. L’ultima sezione del video infine invita ad agire nel proprio piccolo al fine di raggiungere una vera equità totale.</w:t>
            </w:r>
          </w:p>
          <w:p w14:paraId="30AD6814" w14:textId="77777777" w:rsidR="00570012" w:rsidRPr="007B64E0" w:rsidRDefault="00570012" w:rsidP="00570012">
            <w:pPr>
              <w:spacing w:after="8" w:line="216" w:lineRule="auto"/>
              <w:ind w:left="14" w:right="372"/>
              <w:jc w:val="both"/>
            </w:pPr>
            <w:r w:rsidRPr="007B64E0">
              <w:t>Il secondo elemento del progetto è un video verticale di breve durata che ha come obiettivo quello di fornire un antipasto della tematica affrontata nel video principale: la prima parte di questo contenuto definisce il problema con esempi pratici, mentre la seconda rimanda al video.</w:t>
            </w:r>
          </w:p>
          <w:p w14:paraId="76B3EAB0" w14:textId="077EA77A" w:rsidR="00F5308B" w:rsidRDefault="00570012" w:rsidP="00570012">
            <w:r w:rsidRPr="007B64E0">
              <w:t>Vi è infine un elemento accessorio al video principale, un’immagine di thumbnail per il video di YouTube che raffigura ritratti di donne nello stile di Warhol.</w:t>
            </w:r>
          </w:p>
        </w:tc>
      </w:tr>
      <w:tr w:rsidR="00F5308B" w14:paraId="0CFC82F9" w14:textId="77777777" w:rsidTr="00377522">
        <w:tc>
          <w:tcPr>
            <w:tcW w:w="1843" w:type="dxa"/>
          </w:tcPr>
          <w:p w14:paraId="6F0660FD" w14:textId="028E3B5A" w:rsidR="00377522" w:rsidRPr="00F5308B" w:rsidRDefault="00DA3574">
            <w:pPr>
              <w:rPr>
                <w:b/>
                <w:bCs/>
              </w:rPr>
            </w:pPr>
            <w:r>
              <w:rPr>
                <w:b/>
                <w:bCs/>
              </w:rPr>
              <w:t>Funzioni</w:t>
            </w:r>
          </w:p>
        </w:tc>
        <w:tc>
          <w:tcPr>
            <w:tcW w:w="7785" w:type="dxa"/>
          </w:tcPr>
          <w:p w14:paraId="62C3CF81" w14:textId="1B948D6F" w:rsidR="00F5308B" w:rsidRPr="0091076B" w:rsidRDefault="00570012">
            <w:pPr>
              <w:rPr>
                <w:i/>
                <w:iCs/>
              </w:rPr>
            </w:pPr>
            <w:r w:rsidRPr="007B64E0">
              <w:t>Attraverso i tool utilizzati, è stato possibile sintetizzare la voce che legge gli script dei due video. La voce stessa appare naturale e coinvolgente, il che rende la fruizione dei contenuti più piacevole e relativamente leggera senza avere l’impressione che l’intero materiale sia stato realizzato con un’intelligenza artificiale.</w:t>
            </w:r>
          </w:p>
        </w:tc>
      </w:tr>
      <w:tr w:rsidR="0091076B" w14:paraId="711F1FC5" w14:textId="77777777" w:rsidTr="00377522">
        <w:tc>
          <w:tcPr>
            <w:tcW w:w="1843" w:type="dxa"/>
          </w:tcPr>
          <w:p w14:paraId="5F410DB6" w14:textId="70449C43" w:rsidR="0091076B" w:rsidRDefault="0091076B">
            <w:pPr>
              <w:rPr>
                <w:b/>
                <w:bCs/>
              </w:rPr>
            </w:pPr>
            <w:r>
              <w:rPr>
                <w:b/>
                <w:bCs/>
              </w:rPr>
              <w:t>Modalità di condivisione</w:t>
            </w:r>
          </w:p>
        </w:tc>
        <w:tc>
          <w:tcPr>
            <w:tcW w:w="7785" w:type="dxa"/>
          </w:tcPr>
          <w:p w14:paraId="48746041" w14:textId="77777777" w:rsidR="00570012" w:rsidRPr="007B64E0" w:rsidRDefault="00570012" w:rsidP="00570012">
            <w:pPr>
              <w:ind w:left="14"/>
              <w:rPr>
                <w:rStyle w:val="Hyperlink"/>
                <w:lang w:val="en-US"/>
              </w:rPr>
            </w:pPr>
            <w:r w:rsidRPr="007B64E0">
              <w:rPr>
                <w:lang w:val="en-US"/>
              </w:rPr>
              <w:t xml:space="preserve">Breaking Barriers: </w:t>
            </w:r>
            <w:hyperlink r:id="rId6" w:history="1">
              <w:r w:rsidRPr="007B64E0">
                <w:rPr>
                  <w:rStyle w:val="Hyperlink"/>
                  <w:lang w:val="en-US"/>
                </w:rPr>
                <w:t>link principale</w:t>
              </w:r>
            </w:hyperlink>
            <w:r w:rsidRPr="007B64E0">
              <w:rPr>
                <w:lang w:val="en-US"/>
              </w:rPr>
              <w:t xml:space="preserve"> e </w:t>
            </w:r>
            <w:hyperlink r:id="rId7" w:history="1">
              <w:r w:rsidRPr="007B64E0">
                <w:rPr>
                  <w:rStyle w:val="Hyperlink"/>
                  <w:lang w:val="en-US"/>
                </w:rPr>
                <w:t>link alternativo</w:t>
              </w:r>
            </w:hyperlink>
          </w:p>
          <w:p w14:paraId="339D7DF9" w14:textId="77777777" w:rsidR="00570012" w:rsidRPr="007B64E0" w:rsidRDefault="00570012" w:rsidP="00570012">
            <w:pPr>
              <w:rPr>
                <w:lang w:val="en-US"/>
              </w:rPr>
            </w:pPr>
            <w:r w:rsidRPr="007B64E0">
              <w:rPr>
                <w:lang w:val="en-US"/>
              </w:rPr>
              <w:t xml:space="preserve">Equality Unveiled: </w:t>
            </w:r>
            <w:hyperlink r:id="rId8" w:history="1">
              <w:r w:rsidRPr="007B64E0">
                <w:rPr>
                  <w:rStyle w:val="Hyperlink"/>
                  <w:lang w:val="en-US"/>
                </w:rPr>
                <w:t>link principale</w:t>
              </w:r>
            </w:hyperlink>
            <w:r w:rsidRPr="007B64E0">
              <w:rPr>
                <w:lang w:val="en-US"/>
              </w:rPr>
              <w:t xml:space="preserve"> e </w:t>
            </w:r>
            <w:hyperlink r:id="rId9" w:history="1">
              <w:r w:rsidRPr="007B64E0">
                <w:rPr>
                  <w:rStyle w:val="Hyperlink"/>
                  <w:lang w:val="en-US"/>
                </w:rPr>
                <w:t>link alternativo</w:t>
              </w:r>
            </w:hyperlink>
          </w:p>
          <w:p w14:paraId="5DB7D97B" w14:textId="3BF68390" w:rsidR="0091076B" w:rsidRPr="00090E15" w:rsidRDefault="00570012" w:rsidP="00570012">
            <w:pPr>
              <w:rPr>
                <w:i/>
                <w:iCs/>
              </w:rPr>
            </w:pPr>
            <w:r w:rsidRPr="007B64E0">
              <w:t xml:space="preserve">Immagine di thumbnail: </w:t>
            </w:r>
            <w:hyperlink r:id="rId10" w:history="1">
              <w:r w:rsidRPr="007B64E0">
                <w:rPr>
                  <w:rStyle w:val="Hyperlink"/>
                </w:rPr>
                <w:t>link principale</w:t>
              </w:r>
            </w:hyperlink>
          </w:p>
        </w:tc>
      </w:tr>
      <w:tr w:rsidR="00377522" w14:paraId="3B77E52E" w14:textId="77777777" w:rsidTr="00377522">
        <w:tc>
          <w:tcPr>
            <w:tcW w:w="1843" w:type="dxa"/>
          </w:tcPr>
          <w:p w14:paraId="28DD5F16" w14:textId="3D23C812" w:rsidR="00377522" w:rsidRDefault="00377522">
            <w:pPr>
              <w:rPr>
                <w:b/>
                <w:bCs/>
              </w:rPr>
            </w:pPr>
            <w:r>
              <w:rPr>
                <w:b/>
                <w:bCs/>
              </w:rPr>
              <w:lastRenderedPageBreak/>
              <w:t>Note</w:t>
            </w:r>
            <w:r w:rsidR="009B2793">
              <w:rPr>
                <w:b/>
                <w:bCs/>
              </w:rPr>
              <w:t xml:space="preserve"> (se necessario)</w:t>
            </w:r>
          </w:p>
        </w:tc>
        <w:tc>
          <w:tcPr>
            <w:tcW w:w="7785" w:type="dxa"/>
          </w:tcPr>
          <w:p w14:paraId="4F95A8C1" w14:textId="4FEC99C8" w:rsidR="00196333" w:rsidRPr="009B2793" w:rsidRDefault="000F2832">
            <w:pPr>
              <w:rPr>
                <w:i/>
                <w:iCs/>
              </w:rPr>
            </w:pPr>
            <w:r w:rsidRPr="007B64E0">
              <w:t>Il progetto è visto come punto di inizio per affrontare la tematica, integrabile con un percorso di laboratori e conferenze sul tema. Il tutto è stato realizzato in inglese per permettere una diffusione maggiore.</w:t>
            </w:r>
          </w:p>
        </w:tc>
      </w:tr>
    </w:tbl>
    <w:p w14:paraId="09BA76E5" w14:textId="516FE66A" w:rsidR="001739F0" w:rsidRDefault="001739F0"/>
    <w:p w14:paraId="1AD60304" w14:textId="77777777" w:rsidR="00F5308B" w:rsidRDefault="00F5308B"/>
    <w:sectPr w:rsidR="00F5308B">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52FDF" w14:textId="77777777" w:rsidR="008E76F4" w:rsidRDefault="008E76F4" w:rsidP="008B74D4">
      <w:pPr>
        <w:spacing w:after="0" w:line="240" w:lineRule="auto"/>
      </w:pPr>
      <w:r>
        <w:separator/>
      </w:r>
    </w:p>
  </w:endnote>
  <w:endnote w:type="continuationSeparator" w:id="0">
    <w:p w14:paraId="13B416B9" w14:textId="77777777" w:rsidR="008E76F4" w:rsidRDefault="008E76F4" w:rsidP="008B7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25FF" w14:textId="0FE0FD2D" w:rsidR="008B74D4" w:rsidRDefault="00775739">
    <w:pPr>
      <w:pStyle w:val="Footer"/>
      <w:rPr>
        <w:rFonts w:ascii="Times New Roman" w:hAnsi="Times New Roman" w:cs="Times New Roman"/>
        <w:sz w:val="20"/>
        <w:szCs w:val="20"/>
      </w:rPr>
    </w:pPr>
    <w:r w:rsidRPr="00775739">
      <w:rPr>
        <w:rFonts w:ascii="Times New Roman" w:hAnsi="Times New Roman" w:cs="Times New Roman"/>
        <w:sz w:val="20"/>
        <w:szCs w:val="20"/>
      </w:rPr>
      <w:t>Prof. Giorgio Poletti</w:t>
    </w:r>
  </w:p>
  <w:p w14:paraId="455D5162" w14:textId="54809343" w:rsidR="00775739" w:rsidRPr="00775739" w:rsidRDefault="00775739">
    <w:pPr>
      <w:pStyle w:val="Footer"/>
      <w:rPr>
        <w:rFonts w:ascii="Times New Roman" w:hAnsi="Times New Roman" w:cs="Times New Roman"/>
        <w:i/>
        <w:iCs/>
        <w:sz w:val="20"/>
        <w:szCs w:val="20"/>
      </w:rPr>
    </w:pPr>
    <w:r w:rsidRPr="00775739">
      <w:rPr>
        <w:rFonts w:ascii="Times New Roman" w:hAnsi="Times New Roman" w:cs="Times New Roman"/>
        <w:i/>
        <w:iCs/>
        <w:sz w:val="20"/>
        <w:szCs w:val="20"/>
      </w:rPr>
      <w:t>giorgio.poletti@unife.it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9231" w14:textId="77777777" w:rsidR="008E76F4" w:rsidRDefault="008E76F4" w:rsidP="008B74D4">
      <w:pPr>
        <w:spacing w:after="0" w:line="240" w:lineRule="auto"/>
      </w:pPr>
      <w:r>
        <w:separator/>
      </w:r>
    </w:p>
  </w:footnote>
  <w:footnote w:type="continuationSeparator" w:id="0">
    <w:p w14:paraId="0BBE36A7" w14:textId="77777777" w:rsidR="008E76F4" w:rsidRDefault="008E76F4" w:rsidP="008B7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5130" w14:textId="619D724F" w:rsidR="008B74D4" w:rsidRDefault="008B74D4">
    <w:pPr>
      <w:pStyle w:val="Header"/>
      <w:rPr>
        <w:rFonts w:ascii="Verdana" w:hAnsi="Verdana"/>
        <w:sz w:val="20"/>
        <w:szCs w:val="20"/>
      </w:rPr>
    </w:pPr>
    <w:r w:rsidRPr="008B74D4">
      <w:rPr>
        <w:rFonts w:ascii="Verdana" w:hAnsi="Verdana"/>
        <w:noProof/>
        <w:sz w:val="20"/>
        <w:szCs w:val="20"/>
      </w:rPr>
      <w:drawing>
        <wp:anchor distT="0" distB="0" distL="114300" distR="114300" simplePos="0" relativeHeight="251658240" behindDoc="0" locked="0" layoutInCell="1" allowOverlap="1" wp14:anchorId="177792AE" wp14:editId="5FBB7217">
          <wp:simplePos x="0" y="0"/>
          <wp:positionH relativeFrom="column">
            <wp:posOffset>-46990</wp:posOffset>
          </wp:positionH>
          <wp:positionV relativeFrom="paragraph">
            <wp:posOffset>-106680</wp:posOffset>
          </wp:positionV>
          <wp:extent cx="2397760" cy="481330"/>
          <wp:effectExtent l="0" t="0" r="2540" b="0"/>
          <wp:wrapSquare wrapText="bothSides"/>
          <wp:docPr id="4" name="Immagine 3">
            <a:extLst xmlns:a="http://schemas.openxmlformats.org/drawingml/2006/main">
              <a:ext uri="{FF2B5EF4-FFF2-40B4-BE49-F238E27FC236}">
                <a16:creationId xmlns:a16="http://schemas.microsoft.com/office/drawing/2014/main" id="{2113D88A-CE88-4595-BF65-B065ADBD35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
                    <a:extLst>
                      <a:ext uri="{FF2B5EF4-FFF2-40B4-BE49-F238E27FC236}">
                        <a16:creationId xmlns:a16="http://schemas.microsoft.com/office/drawing/2014/main" id="{2113D88A-CE88-4595-BF65-B065ADBD357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97760" cy="481330"/>
                  </a:xfrm>
                  <a:prstGeom prst="rect">
                    <a:avLst/>
                  </a:prstGeom>
                </pic:spPr>
              </pic:pic>
            </a:graphicData>
          </a:graphic>
          <wp14:sizeRelH relativeFrom="page">
            <wp14:pctWidth>0</wp14:pctWidth>
          </wp14:sizeRelH>
          <wp14:sizeRelV relativeFrom="page">
            <wp14:pctHeight>0</wp14:pctHeight>
          </wp14:sizeRelV>
        </wp:anchor>
      </w:drawing>
    </w:r>
    <w:r w:rsidR="00191C9F">
      <w:t>N</w:t>
    </w:r>
    <w:r w:rsidR="00407DB1" w:rsidRPr="00407DB1">
      <w:rPr>
        <w:rFonts w:ascii="Verdana" w:hAnsi="Verdana"/>
        <w:noProof/>
        <w:sz w:val="20"/>
        <w:szCs w:val="20"/>
      </w:rPr>
      <w:t>arrazione e robotica per la comunicazione con laborato</w:t>
    </w:r>
  </w:p>
  <w:p w14:paraId="6AB7114C" w14:textId="77777777" w:rsidR="00191C9F" w:rsidRDefault="008B74D4">
    <w:pPr>
      <w:pStyle w:val="Header"/>
      <w:rPr>
        <w:rFonts w:ascii="Verdana" w:hAnsi="Verdana"/>
        <w:sz w:val="16"/>
        <w:szCs w:val="16"/>
      </w:rPr>
    </w:pPr>
    <w:r w:rsidRPr="008B74D4">
      <w:rPr>
        <w:rFonts w:ascii="Verdana" w:hAnsi="Verdana"/>
        <w:sz w:val="16"/>
        <w:szCs w:val="16"/>
      </w:rPr>
      <w:t>Corso di Laurea</w:t>
    </w:r>
    <w:r w:rsidR="00725FFD">
      <w:rPr>
        <w:rFonts w:ascii="Verdana" w:hAnsi="Verdana"/>
        <w:sz w:val="16"/>
        <w:szCs w:val="16"/>
      </w:rPr>
      <w:t xml:space="preserve"> in “</w:t>
    </w:r>
    <w:r w:rsidR="00191C9F">
      <w:rPr>
        <w:rFonts w:ascii="Verdana" w:hAnsi="Verdana"/>
        <w:sz w:val="16"/>
        <w:szCs w:val="16"/>
      </w:rPr>
      <w:t>Scienze e Tecnologie della Comunicazione</w:t>
    </w:r>
    <w:r w:rsidR="00725FFD">
      <w:rPr>
        <w:rFonts w:ascii="Verdana" w:hAnsi="Verdana"/>
        <w:sz w:val="16"/>
        <w:szCs w:val="16"/>
      </w:rPr>
      <w:t>”</w:t>
    </w:r>
  </w:p>
  <w:p w14:paraId="507F6222" w14:textId="6B6164CA" w:rsidR="008B74D4" w:rsidRPr="008B74D4" w:rsidRDefault="00775739">
    <w:pPr>
      <w:pStyle w:val="Header"/>
      <w:rPr>
        <w:rFonts w:ascii="Verdana" w:hAnsi="Verdana"/>
        <w:sz w:val="16"/>
        <w:szCs w:val="16"/>
      </w:rPr>
    </w:pPr>
    <w:r>
      <w:rPr>
        <w:rFonts w:ascii="Verdana" w:hAnsi="Verdana"/>
        <w:sz w:val="16"/>
        <w:szCs w:val="16"/>
      </w:rPr>
      <w:t>AA 202</w:t>
    </w:r>
    <w:r w:rsidR="001D0AFB">
      <w:rPr>
        <w:rFonts w:ascii="Verdana" w:hAnsi="Verdana"/>
        <w:sz w:val="16"/>
        <w:szCs w:val="16"/>
      </w:rPr>
      <w:t>2</w:t>
    </w:r>
    <w:r>
      <w:rPr>
        <w:rFonts w:ascii="Verdana" w:hAnsi="Verdana"/>
        <w:sz w:val="16"/>
        <w:szCs w:val="16"/>
      </w:rPr>
      <w:t>/202</w:t>
    </w:r>
    <w:r w:rsidR="00196333">
      <w:rPr>
        <w:rFonts w:ascii="Verdana" w:hAnsi="Verdana"/>
        <w:sz w:val="16"/>
        <w:szCs w:val="16"/>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D4"/>
    <w:rsid w:val="000062F8"/>
    <w:rsid w:val="00013E95"/>
    <w:rsid w:val="000431EC"/>
    <w:rsid w:val="00090E15"/>
    <w:rsid w:val="000D4311"/>
    <w:rsid w:val="000F2832"/>
    <w:rsid w:val="000F67D5"/>
    <w:rsid w:val="00110E64"/>
    <w:rsid w:val="00120C13"/>
    <w:rsid w:val="00170769"/>
    <w:rsid w:val="001739F0"/>
    <w:rsid w:val="00174110"/>
    <w:rsid w:val="00191C9F"/>
    <w:rsid w:val="00196333"/>
    <w:rsid w:val="001C4450"/>
    <w:rsid w:val="001D0AFB"/>
    <w:rsid w:val="00220233"/>
    <w:rsid w:val="003701E8"/>
    <w:rsid w:val="00377522"/>
    <w:rsid w:val="003C4116"/>
    <w:rsid w:val="003F509B"/>
    <w:rsid w:val="0040345C"/>
    <w:rsid w:val="00407DB1"/>
    <w:rsid w:val="004105BA"/>
    <w:rsid w:val="00437A54"/>
    <w:rsid w:val="00442947"/>
    <w:rsid w:val="00570012"/>
    <w:rsid w:val="0058263C"/>
    <w:rsid w:val="005C0042"/>
    <w:rsid w:val="00603F3B"/>
    <w:rsid w:val="00643ADB"/>
    <w:rsid w:val="00725FFD"/>
    <w:rsid w:val="00731304"/>
    <w:rsid w:val="00775739"/>
    <w:rsid w:val="007A5630"/>
    <w:rsid w:val="008A2AE4"/>
    <w:rsid w:val="008B4188"/>
    <w:rsid w:val="008B74D4"/>
    <w:rsid w:val="008E76F4"/>
    <w:rsid w:val="0091076B"/>
    <w:rsid w:val="00914F69"/>
    <w:rsid w:val="00946AE5"/>
    <w:rsid w:val="009B2793"/>
    <w:rsid w:val="00A0026F"/>
    <w:rsid w:val="00A160F6"/>
    <w:rsid w:val="00A63C16"/>
    <w:rsid w:val="00A76CD0"/>
    <w:rsid w:val="00A843D4"/>
    <w:rsid w:val="00AA109D"/>
    <w:rsid w:val="00B22170"/>
    <w:rsid w:val="00B568F9"/>
    <w:rsid w:val="00B65A06"/>
    <w:rsid w:val="00C738C8"/>
    <w:rsid w:val="00DA3574"/>
    <w:rsid w:val="00F14DBC"/>
    <w:rsid w:val="00F16327"/>
    <w:rsid w:val="00F530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F72DA"/>
  <w15:chartTrackingRefBased/>
  <w15:docId w15:val="{A821C550-8939-4484-A597-85DE3FF8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4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8B74D4"/>
  </w:style>
  <w:style w:type="paragraph" w:styleId="Footer">
    <w:name w:val="footer"/>
    <w:basedOn w:val="Normal"/>
    <w:link w:val="FooterChar"/>
    <w:uiPriority w:val="99"/>
    <w:unhideWhenUsed/>
    <w:rsid w:val="008B74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B74D4"/>
  </w:style>
  <w:style w:type="table" w:styleId="TableGrid">
    <w:name w:val="Table Grid"/>
    <w:basedOn w:val="TableNormal"/>
    <w:uiPriority w:val="39"/>
    <w:rsid w:val="00A63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0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invideo.io/watch/IUHa3Uwtmm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_xFGVoNxLENTXbxe5rlBSzWyiXHN9Fx_/view?usp=sharing"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invideo.io/watch/rOu42AI7yTX"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drive.google.com/file/d/1_hrPMn_oNkkd0mbiSFtU27ttLyD-ibc1/view?usp=sharing" TargetMode="External"/><Relationship Id="rId4" Type="http://schemas.openxmlformats.org/officeDocument/2006/relationships/footnotes" Target="footnotes.xml"/><Relationship Id="rId9" Type="http://schemas.openxmlformats.org/officeDocument/2006/relationships/hyperlink" Target="https://drive.google.com/file/d/1_pDdh1oT9D7CsYJhDE-tygHfu4UgHr4S/view?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645</Words>
  <Characters>3680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Poletti</dc:creator>
  <cp:keywords/>
  <dc:description/>
  <cp:lastModifiedBy>TAIWO SOLOMON OLAMIDE</cp:lastModifiedBy>
  <cp:revision>4</cp:revision>
  <cp:lastPrinted>2022-12-09T08:49:00Z</cp:lastPrinted>
  <dcterms:created xsi:type="dcterms:W3CDTF">2023-12-20T14:35:00Z</dcterms:created>
  <dcterms:modified xsi:type="dcterms:W3CDTF">2023-12-20T15:11:00Z</dcterms:modified>
</cp:coreProperties>
</file>