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772"/>
        <w:gridCol w:w="3300"/>
      </w:tblGrid>
      <w:tr>
        <w:tc>
          <w:tcPr>
            <w:tcW w:type="dxa" w:w="57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6"/>
                <w:szCs w:val="26"/>
                <w:rtl/>
              </w:rPr>
              <w:t xml:space="preserve">בבית המשפט לענייני משפחה בחיפה</w:t>
            </w:r>
          </w:p>
        </w:tc>
        <w:tc>
          <w:tcPr>
            <w:tcW w:type="dxa" w:w="33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end"/>
            </w:pPr>
            <w:r>
              <w:rPr>
                <w:rFonts w:ascii="David" w:cs="David" w:eastAsia="David" w:hAnsi="David"/>
                <w:b/>
                <w:bCs/>
                <w:sz w:val="26"/>
                <w:szCs w:val="26"/>
                <w:rtl/>
              </w:rPr>
              <w:t xml:space="preserve">תלה"מ 21221-03-25</w:t>
            </w:r>
          </w:p>
        </w:tc>
      </w:tr>
    </w:tbl>
    <w:p>
      <w:pPr>
        <w:bidi/>
        <w:spacing w:after="60" w:before="200" w:line="360" w:lineRule="auto"/>
        <w:jc w:val="start"/>
      </w:pPr>
      <w:r>
        <w:rPr>
          <w:rFonts w:ascii="David" w:cs="David" w:eastAsia="David" w:hAnsi="David"/>
          <w:b/>
          <w:bCs/>
          <w:sz w:val="24"/>
          <w:szCs w:val="24"/>
          <w:u w:val="single"/>
          <w:rtl/>
        </w:rPr>
        <w:t xml:space="preserve">בעניין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500"/>
        <w:gridCol w:w="2500"/>
      </w:tblGrid>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1.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2.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3.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שרה חד</w:t>
            </w:r>
            <w:r>
              <w:rPr>
                <w:rFonts w:ascii="David" w:cs="David" w:eastAsia="David" w:hAnsi="David"/>
                <w:sz w:val="24"/>
                <w:szCs w:val="24"/>
                <w:rtl/>
              </w:rPr>
              <w:t xml:space="preserve">, ת.ז. 454455511</w:t>
            </w:r>
          </w:p>
          <w:p>
            <w:pPr>
              <w:bidi/>
              <w:spacing w:after="0" w:line="300" w:lineRule="auto"/>
              <w:jc w:val="start"/>
            </w:pPr>
            <w:r>
              <w:rPr>
                <w:rFonts w:ascii="David" w:cs="David" w:eastAsia="David" w:hAnsi="David"/>
                <w:sz w:val="24"/>
                <w:szCs w:val="24"/>
                <w:rtl/>
              </w:rPr>
              <w:t xml:space="preserve">מרחוב ______________, חיפה</w:t>
            </w:r>
          </w:p>
          <w:p>
            <w:pPr>
              <w:bidi/>
              <w:spacing w:after="0" w:line="300" w:lineRule="auto"/>
              <w:jc w:val="start"/>
            </w:pPr>
            <w:r>
              <w:rPr>
                <w:rFonts w:ascii="David" w:cs="David" w:eastAsia="David" w:hAnsi="David"/>
                <w:sz w:val="24"/>
                <w:szCs w:val="24"/>
                <w:rtl/>
              </w:rPr>
              <w:t xml:space="preserve">ע"י ב"כ עו"ד סולומון טקה, מ.ר. ______, מרחוב __________; טל' ______</w:t>
            </w:r>
          </w:p>
        </w:tc>
      </w:tr>
    </w:tbl>
    <w:p>
      <w:pPr>
        <w:bidi/>
        <w:spacing w:after="60" w:before="60" w:line="36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______________ (שם מלא)</w:t>
            </w:r>
            <w:r>
              <w:rPr>
                <w:rFonts w:ascii="David" w:cs="David" w:eastAsia="David" w:hAnsi="David"/>
                <w:sz w:val="24"/>
                <w:szCs w:val="24"/>
                <w:rtl/>
              </w:rPr>
              <w:t xml:space="preserve">, ת.ז. ______________</w:t>
            </w:r>
          </w:p>
          <w:p>
            <w:pPr>
              <w:bidi/>
              <w:spacing w:after="0" w:line="300" w:lineRule="auto"/>
              <w:jc w:val="start"/>
            </w:pPr>
            <w:r>
              <w:rPr>
                <w:rFonts w:ascii="David" w:cs="David" w:eastAsia="David" w:hAnsi="David"/>
                <w:sz w:val="24"/>
                <w:szCs w:val="24"/>
                <w:rtl/>
              </w:rPr>
              <w:t xml:space="preserve">מרחוב ______________, באר שבע</w:t>
            </w:r>
          </w:p>
        </w:tc>
      </w:tr>
    </w:tbl>
    <w:p>
      <w:pPr>
        <w:bidi/>
        <w:spacing w:after="0" w:before="160" w:line="360" w:lineRule="auto"/>
        <w:jc w:val="center"/>
      </w:pPr>
      <w:r>
        <w:rPr>
          <w:rFonts w:ascii="David" w:cs="David" w:eastAsia="David" w:hAnsi="David"/>
          <w:b/>
          <w:bCs/>
          <w:sz w:val="28"/>
          <w:szCs w:val="28"/>
          <w:u w:val="single"/>
          <w:rtl/>
        </w:rPr>
        <w:t xml:space="preserve">בקשה דחופה לקביעת המבקשת כאפוטרופסית יחידה וקבועה לקטינים, ולמתן סעד זמני</w:t>
      </w:r>
    </w:p>
    <w:p>
      <w:pPr>
        <w:bidi/>
        <w:spacing w:after="160" w:before="0" w:line="360" w:lineRule="auto"/>
        <w:jc w:val="center"/>
      </w:pPr>
      <w:r>
        <w:rPr>
          <w:rFonts w:ascii="David" w:cs="David" w:eastAsia="David" w:hAnsi="David"/>
          <w:sz w:val="24"/>
          <w:szCs w:val="24"/>
          <w:rtl/>
        </w:rPr>
        <w:t xml:space="preserve">(לפי סעיפים 17, 19 ו-68 לחוק הכשרות המשפטית והאפוטרופסות, התשכ"ב-1962)</w:t>
      </w:r>
    </w:p>
    <w:p>
      <w:pPr>
        <w:bidi/>
        <w:spacing w:after="120" w:before="0" w:line="360" w:lineRule="auto"/>
        <w:jc w:val="both"/>
      </w:pPr>
      <w:r>
        <w:rPr>
          <w:rFonts w:ascii="David" w:cs="David" w:eastAsia="David" w:hAnsi="David"/>
          <w:sz w:val="24"/>
          <w:szCs w:val="24"/>
          <w:rtl/>
        </w:rPr>
        <w:t xml:space="preserve">בית המשפט הנכבד מתבקש ליתן בדחיפות סעד זמני בעניין טיפוליו של הקטין ב.ל, ולהורות כי המבקשת תהיה האפוטרופסית היחידה לקטינים, כמפורט להלן. ואלה נימוקי הבקשה:</w:t>
      </w:r>
    </w:p>
    <w:p>
      <w:pPr>
        <w:pStyle w:val="ListParagraph"/>
        <w:numPr>
          <w:ilvl w:val="0"/>
          <w:numId w:val="2"/>
        </w:numPr>
        <w:bidi/>
        <w:spacing w:after="120" w:before="0" w:line="360" w:lineRule="auto"/>
        <w:jc w:val="both"/>
      </w:pPr>
      <w:r>
        <w:rPr>
          <w:rFonts w:ascii="David" w:cs="David" w:eastAsia="David" w:hAnsi="David"/>
          <w:sz w:val="24"/>
          <w:szCs w:val="24"/>
          <w:rtl/>
        </w:rPr>
        <w:t xml:space="preserve">הצדדים, הורי הקטינים, נפרדו ביום 17.5.25 ומנהלים הליך גירושין. מאז הפרידה מתגוררים הקטינים עם המבקשת בלבד, בחיפה, והיא לבדה נושאת בגידולם, בחינוכם ובבריאותם. בתיק שבכותרת ניתן פסק דין למזונות הקטינים.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מתגורר בבאר שבע, כ-209 ק"מ מהקטינים, ואינו מעורב בגידולם: אינו משתתף באסיפות הורים ובטיפולים רפואיים, ואינו משלם מזונות חרף פסק הדין.</w:t>
      </w:r>
    </w:p>
    <w:p>
      <w:pPr>
        <w:pStyle w:val="ListParagraph"/>
        <w:numPr>
          <w:ilvl w:val="0"/>
          <w:numId w:val="2"/>
        </w:numPr>
        <w:bidi/>
        <w:spacing w:after="120" w:before="0" w:line="360" w:lineRule="auto"/>
        <w:jc w:val="both"/>
      </w:pPr>
      <w:r>
        <w:rPr>
          <w:rFonts w:ascii="David" w:cs="David" w:eastAsia="David" w:hAnsi="David"/>
          <w:sz w:val="24"/>
          <w:szCs w:val="24"/>
          <w:rtl/>
        </w:rPr>
        <w:t xml:space="preserve">זה זמן רב אין המשיב מגיע לזמני השהות הקבועים עם הקטינים במרכז הקשר (פל"א) בחיפה. כשצוות המרכז מתקשר אליו, הוא טוען כי בשל קשיים כלכליים אינו יכול להגיע.</w:t>
      </w:r>
    </w:p>
    <w:p>
      <w:pPr>
        <w:pStyle w:val="ListParagraph"/>
        <w:numPr>
          <w:ilvl w:val="0"/>
          <w:numId w:val="2"/>
        </w:numPr>
        <w:bidi/>
        <w:spacing w:after="120" w:before="0" w:line="360" w:lineRule="auto"/>
        <w:jc w:val="both"/>
      </w:pPr>
      <w:r>
        <w:rPr>
          <w:rFonts w:ascii="David" w:cs="David" w:eastAsia="David" w:hAnsi="David"/>
          <w:sz w:val="24"/>
          <w:szCs w:val="24"/>
          <w:rtl/>
        </w:rPr>
        <w:t xml:space="preserve">הקטין ב.ל לומד בכיתה קטנה במסגרת החינוך המיוחד, וזקוק בדחיפות לטיפולים רגשיים. בנוסף, בחודש הקרוב צפוי ב.ל לעבור הליך רפואי (נספח ד'). הטיפולים וההליך מחייבים את הסכמת שני ההורים.</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22.10.26 פנתה המבקשת אל המשיב וביקשה את הסכמתו לטיפולים הרגשיים ולהליך הרפואי. המשיב לא השיב, ואינו עונה לשיחות (נספח ג').</w:t>
      </w:r>
    </w:p>
    <w:p>
      <w:pPr>
        <w:pStyle w:val="ListParagraph"/>
        <w:numPr>
          <w:ilvl w:val="0"/>
          <w:numId w:val="2"/>
        </w:numPr>
        <w:bidi/>
        <w:spacing w:after="120" w:before="0" w:line="360" w:lineRule="auto"/>
        <w:jc w:val="both"/>
      </w:pPr>
      <w:r>
        <w:rPr>
          <w:rFonts w:ascii="David" w:cs="David" w:eastAsia="David" w:hAnsi="David"/>
          <w:sz w:val="24"/>
          <w:szCs w:val="24"/>
          <w:rtl/>
        </w:rPr>
        <w:t xml:space="preserve">הקשיים הכלכליים שלהם טוען המשיב אינם מסבירים את שתיקתו: מתן הסכמה אינו כרוך בנסיעה או בהוצאה כלשהי, וניתן לתתה בטלפון או בחתימה על מסמך שיישלח אליו. בנסיבות אלה, דרישת ההסכמה של שני ההורים הפכה למכשול, והקטינים, ובראשם ב.ל, הם שנפגעים.</w:t>
      </w:r>
    </w:p>
    <w:p>
      <w:pPr>
        <w:pStyle w:val="ListParagraph"/>
        <w:numPr>
          <w:ilvl w:val="0"/>
          <w:numId w:val="2"/>
        </w:numPr>
        <w:bidi/>
        <w:spacing w:after="120" w:before="0" w:line="360" w:lineRule="auto"/>
        <w:jc w:val="both"/>
      </w:pPr>
      <w:r>
        <w:rPr>
          <w:rFonts w:ascii="David" w:cs="David" w:eastAsia="David" w:hAnsi="David"/>
          <w:sz w:val="24"/>
          <w:szCs w:val="24"/>
          <w:rtl/>
        </w:rPr>
        <w:t xml:space="preserve">לפי סעיף 17 לחוק הכשרות המשפטית והאפוטרופסות, התשכ"ב-1962 (להלן: "החוק"), על ההורים לנהוג לטובת הקטין כדרך שהורים מסורים היו נוהגים. לפי סעיף 19 לחוק, מקום שההורים אינם מגיעים להסכמה יכריע בית המשפט, וסעיף 68 לחוק מסמיכו לנקוט אמצעים זמניים או קבועים לשמירת ענייני הקטין. אפוטרופסות היא חובה כלפי הקטין ולא זכות וטו, והורה שאינו ממלא את חובותיו אינו יכול לעכב, בשתיקתו, טיפול שילדו זקוק לו.</w:t>
      </w:r>
    </w:p>
    <w:p>
      <w:pPr>
        <w:pStyle w:val="ListParagraph"/>
        <w:numPr>
          <w:ilvl w:val="0"/>
          <w:numId w:val="2"/>
        </w:numPr>
        <w:bidi/>
        <w:spacing w:after="120" w:before="0" w:line="360" w:lineRule="auto"/>
        <w:jc w:val="both"/>
      </w:pPr>
      <w:r>
        <w:rPr>
          <w:rFonts w:ascii="David" w:cs="David" w:eastAsia="David" w:hAnsi="David"/>
          <w:sz w:val="24"/>
          <w:szCs w:val="24"/>
          <w:rtl/>
        </w:rPr>
        <w:t xml:space="preserve">הסעד המבוקש אינו שלילת אפוטרופסות, אלא הסדרת אופן הפעלתה, ולכן הוא האמצעי המידתי. המבקשת אינה מבקשת לפגוע בקשר בין המשיב לקטינים: היא תעדכן אותו בכתב בכל החלטה מהותית, והוא יוכל לקבל מידע ישירות ממוסדות החינוך ומהגורמים הרפואיים.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הדחיפות: ההליך הרפואי צפוי בחודש הקרוב, והטיפולים הרגשיים נדרשים כבר עתה. כל עיכוב פוגע בב.ל ישירות, ואילו מתן הסעד הזמני אינו גורם למשיב כל נזק. מאזן הנוחות נוטה אפוא בבירור למתן הסעד.</w:t>
      </w:r>
    </w:p>
    <w:p>
      <w:pPr>
        <w:pStyle w:val="ListParagraph"/>
        <w:numPr>
          <w:ilvl w:val="0"/>
          <w:numId w:val="2"/>
        </w:numPr>
        <w:bidi/>
        <w:spacing w:after="120" w:before="0" w:line="360" w:lineRule="auto"/>
        <w:jc w:val="both"/>
      </w:pPr>
      <w:r>
        <w:rPr>
          <w:rFonts w:ascii="David" w:cs="David" w:eastAsia="David" w:hAnsi="David"/>
          <w:sz w:val="24"/>
          <w:szCs w:val="24"/>
          <w:rtl/>
        </w:rPr>
        <w:t xml:space="preserve">בית משפט נכבד זה מוסמך לדון בבקשה לפי חוק בית המשפט לענייני משפחה, התשנ"ה-1995, לאור מקום מגורי הקטינים.</w:t>
      </w:r>
    </w:p>
    <w:p>
      <w:pPr>
        <w:keepNext/>
        <w:bidi/>
        <w:spacing w:after="120" w:before="120" w:line="360" w:lineRule="auto"/>
        <w:jc w:val="both"/>
      </w:pPr>
      <w:r>
        <w:rPr>
          <w:rFonts w:ascii="David" w:cs="David" w:eastAsia="David" w:hAnsi="David"/>
          <w:b/>
          <w:bCs/>
          <w:sz w:val="24"/>
          <w:szCs w:val="24"/>
          <w:rtl/>
        </w:rPr>
        <w:t xml:space="preserve">אשר על כן, מתבקש בית המשפט הנכבד:</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סעד זמני</w:t>
      </w:r>
      <w:r>
        <w:rPr>
          <w:rFonts w:ascii="David" w:cs="David" w:eastAsia="David" w:hAnsi="David"/>
          <w:sz w:val="24"/>
          <w:szCs w:val="24"/>
          <w:rtl/>
        </w:rPr>
        <w:t xml:space="preserve">: להסמיך את המבקשת, עד להכרעה בבקשה, להסכים ולחתום לבדה על הטיפולים הרגשיים של הקטין ב.ל, על ההליך הרפואי שהוא צפוי לעבור ועל כל טיפול הנלווה לו.</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למשיב להגיש את תגובתו לבקשה לסעד זמני בתוך 3 ימים, ובהיעדר תגובה - ליתן את הסעד הזמני על יסוד הבקשה.</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כי המבקשת </w:t>
      </w:r>
      <w:r>
        <w:rPr>
          <w:rFonts w:ascii="David" w:cs="David" w:eastAsia="David" w:hAnsi="David"/>
          <w:b/>
          <w:bCs/>
          <w:sz w:val="24"/>
          <w:szCs w:val="24"/>
          <w:rtl/>
        </w:rPr>
        <w:t xml:space="preserve">תהיה האפוטרופסית היחידה לקטינים</w:t>
      </w:r>
      <w:r>
        <w:rPr>
          <w:rFonts w:ascii="David" w:cs="David" w:eastAsia="David" w:hAnsi="David"/>
          <w:sz w:val="24"/>
          <w:szCs w:val="24"/>
          <w:rtl/>
        </w:rPr>
        <w:t xml:space="preserve">, ותהיה מוסמכת לקבל לבדה כל החלטה ולחתום לבדה על כל מסמך בעניינם, בלא צורך בהסכמת המשיב או בחתימתו, מול כל רשות ומוסד, ובלבד שתעדכן את המשיב בכתב בכל החלטה מהותית.</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לחלופין</w:t>
      </w:r>
      <w:r>
        <w:rPr>
          <w:rFonts w:ascii="David" w:cs="David" w:eastAsia="David" w:hAnsi="David"/>
          <w:sz w:val="24"/>
          <w:szCs w:val="24"/>
          <w:rtl/>
        </w:rPr>
        <w:t xml:space="preserve">, להסמיך את המבקשת לפעול לבדה בענייני חינוך, טיפול רפואי ורגשי, רשויות הרווחה והמוסד לביטוח לאומי, וחשבונות בנק על שם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לחייב את המשיב בהוצאות הבקשה, וליתן כל סעד אחר שיימצא לנכון.</w:t>
      </w:r>
    </w:p>
    <w:p>
      <w:pPr>
        <w:bidi/>
        <w:spacing w:after="120" w:before="120" w:line="360" w:lineRule="auto"/>
        <w:jc w:val="both"/>
      </w:pPr>
      <w:r>
        <w:rPr>
          <w:rFonts w:ascii="David" w:cs="David" w:eastAsia="David" w:hAnsi="David"/>
          <w:sz w:val="24"/>
          <w:szCs w:val="24"/>
          <w:rtl/>
        </w:rPr>
        <w:t xml:space="preserve">מצורפים: תצהיר המבקשת (נספח א'), ספח ת.ז. (נספח ב'), ההתכתבויות עם המשיב (נספח ג') והמסמך הרפואי (נספח ד').</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______________</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jc w:val="end"/>
            </w:pPr>
            <w:r>
              <w:rPr>
                <w:rFonts w:ascii="David" w:cs="David" w:eastAsia="David" w:hAnsi="David"/>
                <w:sz w:val="24"/>
                <w:szCs w:val="24"/>
                <w:rtl/>
              </w:rPr>
              <w:t xml:space="preserve">_______________________</w:t>
            </w:r>
          </w:p>
          <w:p>
            <w:pPr>
              <w:bidi/>
              <w:spacing w:after="0"/>
              <w:jc w:val="end"/>
            </w:pPr>
            <w:r>
              <w:rPr>
                <w:rFonts w:ascii="David" w:cs="David" w:eastAsia="David" w:hAnsi="David"/>
                <w:sz w:val="24"/>
                <w:szCs w:val="24"/>
                <w:rtl/>
              </w:rPr>
              <w:t xml:space="preserve">סולומון טקה, עו"ד, ב"כ המבקשת</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לאפוטרופסות יחידה וקבועה</dc:title>
  <dc:creator>סולומון טקה, עו"ד</dc:creator>
  <cp:lastModifiedBy>Un-named</cp:lastModifiedBy>
  <cp:revision>1</cp:revision>
  <dcterms:created xsi:type="dcterms:W3CDTF">2026-10-25T15:50:12.747Z</dcterms:created>
  <dcterms:modified xsi:type="dcterms:W3CDTF">2026-10-25T15:50:12.747Z</dcterms:modified>
</cp:coreProperties>
</file>

<file path=docProps/custom.xml><?xml version="1.0" encoding="utf-8"?>
<Properties xmlns="http://schemas.openxmlformats.org/officeDocument/2006/custom-properties" xmlns:vt="http://schemas.openxmlformats.org/officeDocument/2006/docPropsVTypes"/>
</file>