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60" w:before="160" w:line="360" w:lineRule="auto"/>
        <w:jc w:val="center"/>
      </w:pPr>
      <w:r>
        <w:rPr>
          <w:rFonts w:ascii="David" w:cs="David" w:eastAsia="David" w:hAnsi="David"/>
          <w:b/>
          <w:bCs/>
          <w:sz w:val="32"/>
          <w:szCs w:val="32"/>
          <w:u w:val="single"/>
          <w:rtl/>
        </w:rPr>
        <w:t xml:space="preserve">הנחיות מילוי - בקשה להארכת צו הגנה</w:t>
      </w:r>
    </w:p>
    <w:p>
      <w:pPr>
        <w:bidi/>
        <w:spacing w:after="200" w:before="0" w:line="360" w:lineRule="auto"/>
        <w:jc w:val="start"/>
      </w:pPr>
      <w:r>
        <w:rPr>
          <w:rFonts w:ascii="David" w:cs="David" w:eastAsia="David" w:hAnsi="David"/>
          <w:b w:val="false"/>
          <w:bCs w:val="false"/>
          <w:sz w:val="24"/>
          <w:szCs w:val="24"/>
          <w:rtl/>
        </w:rPr>
        <w:t xml:space="preserve">מסמך זה נועד לסייע במילוי החבילה. הוא אינו מוגש לבית המשפט; יש למחוק אותו לפני ההגשה.</w:t>
      </w:r>
    </w:p>
    <w:p>
      <w:pPr>
        <w:bidi/>
        <w:keepNext/>
        <w:spacing w:after="120" w:before="240" w:line="360" w:lineRule="auto"/>
        <w:jc w:val="start"/>
      </w:pPr>
      <w:r>
        <w:rPr>
          <w:rFonts w:ascii="David" w:cs="David" w:eastAsia="David" w:hAnsi="David"/>
          <w:b/>
          <w:bCs/>
          <w:sz w:val="24"/>
          <w:szCs w:val="24"/>
          <w:u w:val="single"/>
          <w:rtl/>
        </w:rPr>
        <w:t xml:space="preserve">טבלת משתנים - מלא פעם אחת, העתק לכל המקומות</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600"/>
        <w:gridCol w:w="3236"/>
        <w:gridCol w:w="3236"/>
      </w:tblGrid>
      <w:tr>
        <w:trPr>
          <w:tblHeader/>
        </w:trPr>
        <w:tc>
          <w:tcPr>
            <w:tcW w:type="dxa" w:w="26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bidi/>
              <w:spacing w:after="0" w:before="0" w:line="360" w:lineRule="auto"/>
              <w:jc w:val="center"/>
            </w:pPr>
            <w:r>
              <w:rPr>
                <w:rFonts w:ascii="David" w:cs="David" w:eastAsia="David" w:hAnsi="David"/>
                <w:b/>
                <w:bCs/>
                <w:sz w:val="22"/>
                <w:szCs w:val="22"/>
                <w:rtl/>
              </w:rPr>
              <w:t xml:space="preserve">הפרט</w:t>
            </w:r>
          </w:p>
        </w:tc>
        <w:tc>
          <w:tcPr>
            <w:tcW w:type="dxa" w:w="3236"/>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bidi/>
              <w:spacing w:after="0" w:before="0" w:line="360" w:lineRule="auto"/>
              <w:jc w:val="center"/>
            </w:pPr>
            <w:r>
              <w:rPr>
                <w:rFonts w:ascii="David" w:cs="David" w:eastAsia="David" w:hAnsi="David"/>
                <w:b/>
                <w:bCs/>
                <w:sz w:val="22"/>
                <w:szCs w:val="22"/>
                <w:rtl/>
              </w:rPr>
              <w:t xml:space="preserve">היכן מופיע</w:t>
            </w:r>
          </w:p>
        </w:tc>
        <w:tc>
          <w:tcPr>
            <w:tcW w:type="dxa" w:w="3236"/>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bidi/>
              <w:spacing w:after="0" w:before="0" w:line="360" w:lineRule="auto"/>
              <w:jc w:val="center"/>
            </w:pPr>
            <w:r>
              <w:rPr>
                <w:rFonts w:ascii="David" w:cs="David" w:eastAsia="David" w:hAnsi="David"/>
                <w:b/>
                <w:bCs/>
                <w:sz w:val="22"/>
                <w:szCs w:val="22"/>
                <w:rtl/>
              </w:rPr>
              <w:t xml:space="preserve">הערה</w:t>
            </w:r>
          </w:p>
        </w:tc>
      </w:tr>
      <w:tr>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bidi/>
              <w:spacing w:after="0" w:before="0" w:line="360" w:lineRule="auto"/>
              <w:jc w:val="start"/>
            </w:pPr>
            <w:r>
              <w:rPr>
                <w:rFonts w:ascii="David" w:cs="David" w:eastAsia="David" w:hAnsi="David"/>
                <w:b w:val="false"/>
                <w:bCs w:val="false"/>
                <w:sz w:val="22"/>
                <w:szCs w:val="22"/>
                <w:rtl/>
              </w:rPr>
              <w:t xml:space="preserve">שם המבקשת ות.ז.</w:t>
            </w:r>
          </w:p>
        </w:tc>
        <w:tc>
          <w:tcPr>
            <w:tcW w:type="dxa" w:w="32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bidi/>
              <w:spacing w:after="0" w:before="0" w:line="360" w:lineRule="auto"/>
              <w:jc w:val="start"/>
            </w:pPr>
            <w:r>
              <w:rPr>
                <w:rFonts w:ascii="David" w:cs="David" w:eastAsia="David" w:hAnsi="David"/>
                <w:b w:val="false"/>
                <w:bCs w:val="false"/>
                <w:sz w:val="22"/>
                <w:szCs w:val="22"/>
                <w:rtl/>
              </w:rPr>
              <w:t xml:space="preserve">הבקשה + התצהיר</w:t>
            </w:r>
          </w:p>
        </w:tc>
        <w:tc>
          <w:tcPr>
            <w:tcW w:type="dxa" w:w="32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bidi/>
              <w:spacing w:after="0" w:before="0" w:line="360" w:lineRule="auto"/>
              <w:jc w:val="start"/>
            </w:pPr>
            <w:r>
              <w:rPr>
                <w:rFonts w:ascii="David" w:cs="David" w:eastAsia="David" w:hAnsi="David"/>
                <w:b w:val="false"/>
                <w:bCs w:val="false"/>
                <w:sz w:val="22"/>
                <w:szCs w:val="22"/>
                <w:rtl/>
              </w:rPr>
              <w:t xml:space="preserve">זהה בשני המסמכים</w:t>
            </w:r>
          </w:p>
        </w:tc>
      </w:tr>
      <w:tr>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bidi/>
              <w:spacing w:after="0" w:before="0" w:line="360" w:lineRule="auto"/>
              <w:jc w:val="start"/>
            </w:pPr>
            <w:r>
              <w:rPr>
                <w:rFonts w:ascii="David" w:cs="David" w:eastAsia="David" w:hAnsi="David"/>
                <w:b w:val="false"/>
                <w:bCs w:val="false"/>
                <w:sz w:val="22"/>
                <w:szCs w:val="22"/>
                <w:rtl/>
              </w:rPr>
              <w:t xml:space="preserve">שם המשיב ות.ז.</w:t>
            </w:r>
          </w:p>
        </w:tc>
        <w:tc>
          <w:tcPr>
            <w:tcW w:type="dxa" w:w="32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bidi/>
              <w:spacing w:after="0" w:before="0" w:line="360" w:lineRule="auto"/>
              <w:jc w:val="start"/>
            </w:pPr>
            <w:r>
              <w:rPr>
                <w:rFonts w:ascii="David" w:cs="David" w:eastAsia="David" w:hAnsi="David"/>
                <w:b w:val="false"/>
                <w:bCs w:val="false"/>
                <w:sz w:val="22"/>
                <w:szCs w:val="22"/>
                <w:rtl/>
              </w:rPr>
              <w:t xml:space="preserve">הבקשה + התצהיר</w:t>
            </w:r>
          </w:p>
        </w:tc>
        <w:tc>
          <w:tcPr>
            <w:tcW w:type="dxa" w:w="32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bidi/>
              <w:spacing w:after="0" w:before="0" w:line="360" w:lineRule="auto"/>
              <w:jc w:val="start"/>
            </w:pPr>
            <w:r>
              <w:rPr>
                <w:rFonts w:ascii="David" w:cs="David" w:eastAsia="David" w:hAnsi="David"/>
                <w:b w:val="false"/>
                <w:bCs w:val="false"/>
                <w:sz w:val="22"/>
                <w:szCs w:val="22"/>
                <w:rtl/>
              </w:rPr>
              <w:t xml:space="preserve">זהה בשני המסמכים</w:t>
            </w:r>
          </w:p>
        </w:tc>
      </w:tr>
      <w:tr>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bidi/>
              <w:spacing w:after="0" w:before="0" w:line="360" w:lineRule="auto"/>
              <w:jc w:val="start"/>
            </w:pPr>
            <w:r>
              <w:rPr>
                <w:rFonts w:ascii="David" w:cs="David" w:eastAsia="David" w:hAnsi="David"/>
                <w:b w:val="false"/>
                <w:bCs w:val="false"/>
                <w:sz w:val="22"/>
                <w:szCs w:val="22"/>
                <w:rtl/>
              </w:rPr>
              <w:t xml:space="preserve">כתובות הצדדים</w:t>
            </w:r>
          </w:p>
        </w:tc>
        <w:tc>
          <w:tcPr>
            <w:tcW w:type="dxa" w:w="32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bidi/>
              <w:spacing w:after="0" w:before="0" w:line="360" w:lineRule="auto"/>
              <w:jc w:val="start"/>
            </w:pPr>
            <w:r>
              <w:rPr>
                <w:rFonts w:ascii="David" w:cs="David" w:eastAsia="David" w:hAnsi="David"/>
                <w:b w:val="false"/>
                <w:bCs w:val="false"/>
                <w:sz w:val="22"/>
                <w:szCs w:val="22"/>
                <w:rtl/>
              </w:rPr>
              <w:t xml:space="preserve">הבקשה</w:t>
            </w:r>
          </w:p>
        </w:tc>
        <w:tc>
          <w:tcPr>
            <w:tcW w:type="dxa" w:w="32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bidi/>
              <w:spacing w:after="0" w:before="0" w:line="360" w:lineRule="auto"/>
              <w:jc w:val="start"/>
            </w:pPr>
            <w:r>
              <w:rPr>
                <w:rFonts w:ascii="David" w:cs="David" w:eastAsia="David" w:hAnsi="David"/>
                <w:b w:val="false"/>
                <w:bCs w:val="false"/>
                <w:sz w:val="22"/>
                <w:szCs w:val="22"/>
                <w:rtl/>
              </w:rPr>
              <w:t xml:space="preserve">כתובת המבקשת מבססת סמכות מקומית</w:t>
            </w:r>
          </w:p>
        </w:tc>
      </w:tr>
      <w:tr>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bidi/>
              <w:spacing w:after="0" w:before="0" w:line="360" w:lineRule="auto"/>
              <w:jc w:val="start"/>
            </w:pPr>
            <w:r>
              <w:rPr>
                <w:rFonts w:ascii="David" w:cs="David" w:eastAsia="David" w:hAnsi="David"/>
                <w:b w:val="false"/>
                <w:bCs w:val="false"/>
                <w:sz w:val="22"/>
                <w:szCs w:val="22"/>
                <w:rtl/>
              </w:rPr>
              <w:t xml:space="preserve">פרטי ב"כ (שם, מ.ר., כתובת)</w:t>
            </w:r>
          </w:p>
        </w:tc>
        <w:tc>
          <w:tcPr>
            <w:tcW w:type="dxa" w:w="32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bidi/>
              <w:spacing w:after="0" w:before="0" w:line="360" w:lineRule="auto"/>
              <w:jc w:val="start"/>
            </w:pPr>
            <w:r>
              <w:rPr>
                <w:rFonts w:ascii="David" w:cs="David" w:eastAsia="David" w:hAnsi="David"/>
                <w:b w:val="false"/>
                <w:bCs w:val="false"/>
                <w:sz w:val="22"/>
                <w:szCs w:val="22"/>
                <w:rtl/>
              </w:rPr>
              <w:t xml:space="preserve">הבקשה + אישור עוה"ד</w:t>
            </w:r>
          </w:p>
        </w:tc>
        <w:tc>
          <w:tcPr>
            <w:tcW w:type="dxa" w:w="32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bidi/>
              <w:spacing w:after="0" w:before="0" w:line="360" w:lineRule="auto"/>
              <w:jc w:val="start"/>
            </w:pPr>
            <w:r>
              <w:rPr>
                <w:rFonts w:ascii="David" w:cs="David" w:eastAsia="David" w:hAnsi="David"/>
                <w:b w:val="false"/>
                <w:bCs w:val="false"/>
                <w:sz w:val="22"/>
                <w:szCs w:val="22"/>
                <w:rtl/>
              </w:rPr>
              <w:t xml:space="preserve">זהה בשני המסמכים</w:t>
            </w:r>
          </w:p>
        </w:tc>
      </w:tr>
      <w:tr>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bidi/>
              <w:spacing w:after="0" w:before="0" w:line="360" w:lineRule="auto"/>
              <w:jc w:val="start"/>
            </w:pPr>
            <w:r>
              <w:rPr>
                <w:rFonts w:ascii="David" w:cs="David" w:eastAsia="David" w:hAnsi="David"/>
                <w:b w:val="false"/>
                <w:bCs w:val="false"/>
                <w:sz w:val="22"/>
                <w:szCs w:val="22"/>
                <w:rtl/>
              </w:rPr>
              <w:t xml:space="preserve">מספר התיק</w:t>
            </w:r>
          </w:p>
        </w:tc>
        <w:tc>
          <w:tcPr>
            <w:tcW w:type="dxa" w:w="32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bidi/>
              <w:spacing w:after="0" w:before="0" w:line="360" w:lineRule="auto"/>
              <w:jc w:val="start"/>
            </w:pPr>
            <w:r>
              <w:rPr>
                <w:rFonts w:ascii="David" w:cs="David" w:eastAsia="David" w:hAnsi="David"/>
                <w:b w:val="false"/>
                <w:bCs w:val="false"/>
                <w:sz w:val="22"/>
                <w:szCs w:val="22"/>
                <w:rtl/>
              </w:rPr>
              <w:t xml:space="preserve">הבקשה + התצהיר</w:t>
            </w:r>
          </w:p>
        </w:tc>
        <w:tc>
          <w:tcPr>
            <w:tcW w:type="dxa" w:w="32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bidi/>
              <w:spacing w:after="0" w:before="0" w:line="360" w:lineRule="auto"/>
              <w:jc w:val="start"/>
            </w:pPr>
            <w:r>
              <w:rPr>
                <w:rFonts w:ascii="David" w:cs="David" w:eastAsia="David" w:hAnsi="David"/>
                <w:b w:val="false"/>
                <w:bCs w:val="false"/>
                <w:sz w:val="22"/>
                <w:szCs w:val="22"/>
                <w:rtl/>
              </w:rPr>
              <w:t xml:space="preserve">תיק צו ההגנה הקיים; לא נפתח תיק חדש</w:t>
            </w:r>
          </w:p>
        </w:tc>
      </w:tr>
      <w:tr>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bidi/>
              <w:spacing w:after="0" w:before="0" w:line="360" w:lineRule="auto"/>
              <w:jc w:val="start"/>
            </w:pPr>
            <w:r>
              <w:rPr>
                <w:rFonts w:ascii="David" w:cs="David" w:eastAsia="David" w:hAnsi="David"/>
                <w:b w:val="false"/>
                <w:bCs w:val="false"/>
                <w:sz w:val="22"/>
                <w:szCs w:val="22"/>
                <w:rtl/>
              </w:rPr>
              <w:t xml:space="preserve">שמות הקטינים ושנות לידתם</w:t>
            </w:r>
          </w:p>
        </w:tc>
        <w:tc>
          <w:tcPr>
            <w:tcW w:type="dxa" w:w="32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bidi/>
              <w:spacing w:after="0" w:before="0" w:line="360" w:lineRule="auto"/>
              <w:jc w:val="start"/>
            </w:pPr>
            <w:r>
              <w:rPr>
                <w:rFonts w:ascii="David" w:cs="David" w:eastAsia="David" w:hAnsi="David"/>
                <w:b w:val="false"/>
                <w:bCs w:val="false"/>
                <w:sz w:val="22"/>
                <w:szCs w:val="22"/>
                <w:rtl/>
              </w:rPr>
              <w:t xml:space="preserve">התצהיר סע' 2</w:t>
            </w:r>
          </w:p>
        </w:tc>
        <w:tc>
          <w:tcPr>
            <w:tcW w:type="dxa" w:w="32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bidi/>
              <w:spacing w:after="0" w:before="0" w:line="360" w:lineRule="auto"/>
              <w:jc w:val="start"/>
            </w:pPr>
            <w:r>
              <w:rPr>
                <w:rFonts w:ascii="David" w:cs="David" w:eastAsia="David" w:hAnsi="David"/>
                <w:b w:val="false"/>
                <w:bCs w:val="false"/>
                <w:sz w:val="22"/>
                <w:szCs w:val="22"/>
                <w:rtl/>
              </w:rPr>
              <w:t xml:space="preserve">בבקשה מצוין מספרם בלבד</w:t>
            </w:r>
          </w:p>
        </w:tc>
      </w:tr>
      <w:tr>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bidi/>
              <w:spacing w:after="0" w:before="0" w:line="360" w:lineRule="auto"/>
              <w:jc w:val="start"/>
            </w:pPr>
            <w:r>
              <w:rPr>
                <w:rFonts w:ascii="David" w:cs="David" w:eastAsia="David" w:hAnsi="David"/>
                <w:b w:val="false"/>
                <w:bCs w:val="false"/>
                <w:sz w:val="22"/>
                <w:szCs w:val="22"/>
                <w:rtl/>
              </w:rPr>
              <w:t xml:space="preserve">רקע ההליך הפלילי</w:t>
            </w:r>
          </w:p>
        </w:tc>
        <w:tc>
          <w:tcPr>
            <w:tcW w:type="dxa" w:w="32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bidi/>
              <w:spacing w:after="0" w:before="0" w:line="360" w:lineRule="auto"/>
              <w:jc w:val="start"/>
            </w:pPr>
            <w:r>
              <w:rPr>
                <w:rFonts w:ascii="David" w:cs="David" w:eastAsia="David" w:hAnsi="David"/>
                <w:b w:val="false"/>
                <w:bCs w:val="false"/>
                <w:sz w:val="22"/>
                <w:szCs w:val="22"/>
                <w:rtl/>
              </w:rPr>
              <w:t xml:space="preserve">התצהיר סע' 4</w:t>
            </w:r>
          </w:p>
        </w:tc>
        <w:tc>
          <w:tcPr>
            <w:tcW w:type="dxa" w:w="32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bidi/>
              <w:spacing w:after="0" w:before="0" w:line="360" w:lineRule="auto"/>
              <w:jc w:val="start"/>
            </w:pPr>
            <w:r>
              <w:rPr>
                <w:rFonts w:ascii="David" w:cs="David" w:eastAsia="David" w:hAnsi="David"/>
                <w:b w:val="false"/>
                <w:bCs w:val="false"/>
                <w:sz w:val="22"/>
                <w:szCs w:val="22"/>
                <w:rtl/>
              </w:rPr>
              <w:t xml:space="preserve">בתמצית; ראה אזהרה להלן</w:t>
            </w:r>
          </w:p>
        </w:tc>
      </w:tr>
      <w:tr>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bidi/>
              <w:spacing w:after="0" w:before="0" w:line="360" w:lineRule="auto"/>
              <w:jc w:val="start"/>
            </w:pPr>
            <w:r>
              <w:rPr>
                <w:rFonts w:ascii="David" w:cs="David" w:eastAsia="David" w:hAnsi="David"/>
                <w:b w:val="false"/>
                <w:bCs w:val="false"/>
                <w:sz w:val="22"/>
                <w:szCs w:val="22"/>
                <w:rtl/>
              </w:rPr>
              <w:t xml:space="preserve">מועדי שישה המפגשים שבוטלו</w:t>
            </w:r>
          </w:p>
        </w:tc>
        <w:tc>
          <w:tcPr>
            <w:tcW w:type="dxa" w:w="32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bidi/>
              <w:spacing w:after="0" w:before="0" w:line="360" w:lineRule="auto"/>
              <w:jc w:val="start"/>
            </w:pPr>
            <w:r>
              <w:rPr>
                <w:rFonts w:ascii="David" w:cs="David" w:eastAsia="David" w:hAnsi="David"/>
                <w:b w:val="false"/>
                <w:bCs w:val="false"/>
                <w:sz w:val="22"/>
                <w:szCs w:val="22"/>
                <w:rtl/>
              </w:rPr>
              <w:t xml:space="preserve">לא מפורטים בנוסח</w:t>
            </w:r>
          </w:p>
        </w:tc>
        <w:tc>
          <w:tcPr>
            <w:tcW w:type="dxa" w:w="32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bidi/>
              <w:spacing w:after="0" w:before="0" w:line="360" w:lineRule="auto"/>
              <w:jc w:val="start"/>
            </w:pPr>
            <w:r>
              <w:rPr>
                <w:rFonts w:ascii="David" w:cs="David" w:eastAsia="David" w:hAnsi="David"/>
                <w:b w:val="false"/>
                <w:bCs w:val="false"/>
                <w:sz w:val="22"/>
                <w:szCs w:val="22"/>
                <w:rtl/>
              </w:rPr>
              <w:t xml:space="preserve">מומלץ לצרף פירוט; ראה אזהרה</w:t>
            </w:r>
          </w:p>
        </w:tc>
      </w:tr>
    </w:tbl>
    <w:p>
      <w:pPr>
        <w:bidi/>
        <w:keepNext/>
        <w:spacing w:after="120" w:before="240" w:line="360" w:lineRule="auto"/>
        <w:jc w:val="start"/>
      </w:pPr>
      <w:r>
        <w:rPr>
          <w:rFonts w:ascii="David" w:cs="David" w:eastAsia="David" w:hAnsi="David"/>
          <w:b/>
          <w:bCs/>
          <w:sz w:val="24"/>
          <w:szCs w:val="24"/>
          <w:u w:val="single"/>
          <w:rtl/>
        </w:rPr>
        <w:t xml:space="preserve">אזהרות מהותיות - חובה לבדוק לפני הגשה</w:t>
      </w:r>
    </w:p>
    <w:p>
      <w:pPr>
        <w:pStyle w:val="ListParagraph"/>
        <w:numPr>
          <w:ilvl w:val="0"/>
          <w:numId w:val="2"/>
        </w:numPr>
        <w:bidi/>
        <w:spacing w:after="120" w:before="0" w:line="360" w:lineRule="auto"/>
        <w:jc w:val="both"/>
      </w:pPr>
      <w:r>
        <w:rPr>
          <w:rFonts w:ascii="David" w:cs="David" w:eastAsia="David" w:hAnsi="David"/>
          <w:b w:val="false"/>
          <w:bCs w:val="false"/>
          <w:sz w:val="24"/>
          <w:szCs w:val="24"/>
          <w:rtl/>
        </w:rPr>
        <w:t xml:space="preserve">תקרת התקופה: הצו ניתן ביום 12.3.2026 והוארך פעם אחת, עד ליום 15.9.2026, כך שהתקופה הכוללת עומדת כבר על כשישה חודשים. הארכה נוספת בת שלושה חודשים תביא את התקופה הכוללת לכתשעה חודשים, ולכן היא טעונה נימוקים מיוחדים לפי סעיף 5 לחוק, ומצויה בתוך תקרת השנה המסתיימת ביום 12.3.2027. סעיף 2 לבקשה נוסח בהתאם. לא ניתן לטעון כי ההארכה אינה טעונה נימוקים מיוחדים.</w:t>
      </w:r>
    </w:p>
    <w:p>
      <w:pPr>
        <w:pStyle w:val="ListParagraph"/>
        <w:numPr>
          <w:ilvl w:val="0"/>
          <w:numId w:val="2"/>
        </w:numPr>
        <w:bidi/>
        <w:spacing w:after="120" w:before="0" w:line="360" w:lineRule="auto"/>
        <w:jc w:val="both"/>
      </w:pPr>
      <w:r>
        <w:rPr>
          <w:rFonts w:ascii="David" w:cs="David" w:eastAsia="David" w:hAnsi="David"/>
          <w:b w:val="false"/>
          <w:bCs w:val="false"/>
          <w:sz w:val="24"/>
          <w:szCs w:val="24"/>
          <w:rtl/>
        </w:rPr>
        <w:t xml:space="preserve">הנימוקים המיוחדים: סעיפים 3 עד 6 לבקשה הם הנימוקים המיוחדים הנדרשים: ההליך הפלילי שברקע, הליך המזונות התלוי ועומד, ביטול שישה מפגשים על ידי המשיב, הטיפול במרכז "תפנית" ושלושה קטינים רכים בשנים. אם קיימים נימוקים נוספים, זה המקום להוסיפם.</w:t>
      </w:r>
    </w:p>
    <w:p>
      <w:pPr>
        <w:pStyle w:val="ListParagraph"/>
        <w:numPr>
          <w:ilvl w:val="0"/>
          <w:numId w:val="2"/>
        </w:numPr>
        <w:bidi/>
        <w:spacing w:after="120" w:before="0" w:line="360" w:lineRule="auto"/>
        <w:jc w:val="both"/>
      </w:pPr>
      <w:r>
        <w:rPr>
          <w:rFonts w:ascii="David" w:cs="David" w:eastAsia="David" w:hAnsi="David"/>
          <w:b w:val="false"/>
          <w:bCs w:val="false"/>
          <w:sz w:val="24"/>
          <w:szCs w:val="24"/>
          <w:rtl/>
        </w:rPr>
        <w:t xml:space="preserve">חשבון הימים: 90 ימים מיום 12.3.2026 מסתיימים ביום 10.6.2026, ושלושה חודשים נוספים מגיעים ליום 10.9.2026 ולא ליום 15.9.2026. יש לוודא את המועדים מול לשון הצו והחלטת ההארכה, ולתקן בסעיף 1 לבקשה ובסעיף 3 לתצהיר אם נדרש.</w:t>
      </w:r>
    </w:p>
    <w:p>
      <w:pPr>
        <w:pStyle w:val="ListParagraph"/>
        <w:numPr>
          <w:ilvl w:val="0"/>
          <w:numId w:val="2"/>
        </w:numPr>
        <w:bidi/>
        <w:spacing w:after="120" w:before="0" w:line="360" w:lineRule="auto"/>
        <w:jc w:val="both"/>
      </w:pPr>
      <w:r>
        <w:rPr>
          <w:rFonts w:ascii="David" w:cs="David" w:eastAsia="David" w:hAnsi="David"/>
          <w:b w:val="false"/>
          <w:bCs w:val="false"/>
          <w:sz w:val="24"/>
          <w:szCs w:val="24"/>
          <w:rtl/>
        </w:rPr>
        <w:t xml:space="preserve">תוקף הצו במועד ההגשה: בקשת הארכה מחייבת שהצו יהיה בתוקף. אם תוקפו כבר פקע, אין מקום לבקשת הארכה אלא לבקשה חדשה למתן צו הגנה. יש לוודא זאת לפני ההגשה, ולהגיש במועד המאפשר קביעת דיון לפני הפקיעה.</w:t>
      </w:r>
    </w:p>
    <w:p>
      <w:pPr>
        <w:pStyle w:val="ListParagraph"/>
        <w:numPr>
          <w:ilvl w:val="0"/>
          <w:numId w:val="2"/>
        </w:numPr>
        <w:bidi/>
        <w:spacing w:after="120" w:before="0" w:line="360" w:lineRule="auto"/>
        <w:jc w:val="both"/>
      </w:pPr>
      <w:r>
        <w:rPr>
          <w:rFonts w:ascii="David" w:cs="David" w:eastAsia="David" w:hAnsi="David"/>
          <w:b w:val="false"/>
          <w:bCs w:val="false"/>
          <w:sz w:val="24"/>
          <w:szCs w:val="24"/>
          <w:rtl/>
        </w:rPr>
        <w:t xml:space="preserve">שישה המפגשים שבוטלו: הנוסח מציין את מספרם בלבד. פירוט המועדים, ואישור מרכז הקשר או העתקי הודעות הביטול, יחזקו משמעותית הן את הנימוקים המיוחדים והן את הסעד הנוסף שבסעיף 7.</w:t>
      </w:r>
    </w:p>
    <w:p>
      <w:pPr>
        <w:pStyle w:val="ListParagraph"/>
        <w:numPr>
          <w:ilvl w:val="0"/>
          <w:numId w:val="2"/>
        </w:numPr>
        <w:bidi/>
        <w:spacing w:after="120" w:before="0" w:line="360" w:lineRule="auto"/>
        <w:jc w:val="both"/>
      </w:pPr>
      <w:r>
        <w:rPr>
          <w:rFonts w:ascii="David" w:cs="David" w:eastAsia="David" w:hAnsi="David"/>
          <w:b w:val="false"/>
          <w:bCs w:val="false"/>
          <w:sz w:val="24"/>
          <w:szCs w:val="24"/>
          <w:rtl/>
        </w:rPr>
        <w:t xml:space="preserve">ההליך הפלילי: אם ההליך תלוי ועומד, או אם נקבעו בו תנאי שחרור, מומלץ לציין זאת ולצרף אסמכתה; זהו החיזוק המשמעותי ביותר לבקשה.</w:t>
      </w:r>
    </w:p>
    <w:p>
      <w:pPr>
        <w:pStyle w:val="ListParagraph"/>
        <w:numPr>
          <w:ilvl w:val="0"/>
          <w:numId w:val="2"/>
        </w:numPr>
        <w:bidi/>
        <w:spacing w:after="120" w:before="0" w:line="360" w:lineRule="auto"/>
        <w:jc w:val="both"/>
      </w:pPr>
      <w:r>
        <w:rPr>
          <w:rFonts w:ascii="David" w:cs="David" w:eastAsia="David" w:hAnsi="David"/>
          <w:b w:val="false"/>
          <w:bCs w:val="false"/>
          <w:sz w:val="24"/>
          <w:szCs w:val="24"/>
          <w:rtl/>
        </w:rPr>
        <w:t xml:space="preserve">נספחים: הנוסח אינו מפנה לנספחים. מומלץ לצרף את צו ההגנה, את החלטת ההארכה, את פרוטוקול הדיון מיום 12.3.2026 ואישור טיפול ממרכז "תפנית", ולהוסיף הפניות בגוף הבקשה.</w:t>
      </w:r>
    </w:p>
    <w:p>
      <w:pPr>
        <w:pStyle w:val="ListParagraph"/>
        <w:numPr>
          <w:ilvl w:val="0"/>
          <w:numId w:val="2"/>
        </w:numPr>
        <w:bidi/>
        <w:spacing w:after="120" w:before="0" w:line="360" w:lineRule="auto"/>
        <w:jc w:val="both"/>
      </w:pPr>
      <w:r>
        <w:rPr>
          <w:rFonts w:ascii="David" w:cs="David" w:eastAsia="David" w:hAnsi="David"/>
          <w:b w:val="false"/>
          <w:bCs w:val="false"/>
          <w:sz w:val="24"/>
          <w:szCs w:val="24"/>
          <w:rtl/>
        </w:rPr>
        <w:t xml:space="preserve">סעיף 5 לחוק: יש לאמת את נוסח הסעיף המדויק במאגר מעודכן ולהתאים את סעיף 2 לבקשה ככל שנדרש. לא שולבו אסמכתאות פסיקה, כדי שלא ייכללו הפניות בלתי מאומתות.</w:t>
      </w:r>
    </w:p>
    <w:p>
      <w:pPr>
        <w:pStyle w:val="ListParagraph"/>
        <w:numPr>
          <w:ilvl w:val="0"/>
          <w:numId w:val="2"/>
        </w:numPr>
        <w:bidi/>
        <w:spacing w:after="120" w:before="0" w:line="360" w:lineRule="auto"/>
        <w:jc w:val="both"/>
      </w:pPr>
      <w:r>
        <w:rPr>
          <w:rFonts w:ascii="David" w:cs="David" w:eastAsia="David" w:hAnsi="David"/>
          <w:b w:val="false"/>
          <w:bCs w:val="false"/>
          <w:sz w:val="24"/>
          <w:szCs w:val="24"/>
          <w:rtl/>
        </w:rPr>
        <w:t xml:space="preserve">סעיף 3 לבקשה כולל תוספת ניסוחית: "השקט שנשמר הוא פרי הצו עצמו". התוספת נועדה למנוע טענה כי היעדר אירועים מלמד על התייתרות הצו. ניתן למחוק אותה.</w:t>
      </w:r>
    </w:p>
    <w:p>
      <w:pPr>
        <w:bidi/>
        <w:keepNext/>
        <w:spacing w:after="120" w:before="240" w:line="360" w:lineRule="auto"/>
        <w:jc w:val="start"/>
      </w:pPr>
      <w:r>
        <w:rPr>
          <w:rFonts w:ascii="David" w:cs="David" w:eastAsia="David" w:hAnsi="David"/>
          <w:b/>
          <w:bCs/>
          <w:sz w:val="24"/>
          <w:szCs w:val="24"/>
          <w:u w:val="single"/>
          <w:rtl/>
        </w:rPr>
        <w:t xml:space="preserve">צ'ק-ליסט לפני הגשה</w:t>
      </w:r>
    </w:p>
    <w:p>
      <w:pPr>
        <w:pStyle w:val="ListParagraph"/>
        <w:numPr>
          <w:ilvl w:val="0"/>
          <w:numId w:val="2"/>
        </w:numPr>
        <w:bidi/>
        <w:spacing w:after="120" w:before="0" w:line="360" w:lineRule="auto"/>
        <w:jc w:val="both"/>
      </w:pPr>
      <w:r>
        <w:rPr>
          <w:rFonts w:ascii="David" w:cs="David" w:eastAsia="David" w:hAnsi="David"/>
          <w:b w:val="false"/>
          <w:bCs w:val="false"/>
          <w:sz w:val="24"/>
          <w:szCs w:val="24"/>
          <w:rtl/>
        </w:rPr>
        <w:t xml:space="preserve">כל השדות המסומנים בקו תחתון מולאו, והשמות ומספרי הת"ז זהים בשני המסמכים.</w:t>
      </w:r>
    </w:p>
    <w:p>
      <w:pPr>
        <w:pStyle w:val="ListParagraph"/>
        <w:numPr>
          <w:ilvl w:val="0"/>
          <w:numId w:val="2"/>
        </w:numPr>
        <w:bidi/>
        <w:spacing w:after="120" w:before="0" w:line="360" w:lineRule="auto"/>
        <w:jc w:val="both"/>
      </w:pPr>
      <w:r>
        <w:rPr>
          <w:rFonts w:ascii="David" w:cs="David" w:eastAsia="David" w:hAnsi="David"/>
          <w:b w:val="false"/>
          <w:bCs w:val="false"/>
          <w:sz w:val="24"/>
          <w:szCs w:val="24"/>
          <w:rtl/>
        </w:rPr>
        <w:t xml:space="preserve">המועדים בסעיף 1 לבקשה תואמים ללשון הצו ולהחלטת ההארכה.</w:t>
      </w:r>
    </w:p>
    <w:p>
      <w:pPr>
        <w:pStyle w:val="ListParagraph"/>
        <w:numPr>
          <w:ilvl w:val="0"/>
          <w:numId w:val="2"/>
        </w:numPr>
        <w:bidi/>
        <w:spacing w:after="120" w:before="0" w:line="360" w:lineRule="auto"/>
        <w:jc w:val="both"/>
      </w:pPr>
      <w:r>
        <w:rPr>
          <w:rFonts w:ascii="David" w:cs="David" w:eastAsia="David" w:hAnsi="David"/>
          <w:b w:val="false"/>
          <w:bCs w:val="false"/>
          <w:sz w:val="24"/>
          <w:szCs w:val="24"/>
          <w:rtl/>
        </w:rPr>
        <w:t xml:space="preserve">התצהיר נחתם בפני עורך דין לאחר אזהרה כדין; המצהירה חתמה תחילה ואחריה עורך הדין.</w:t>
      </w:r>
    </w:p>
    <w:p>
      <w:pPr>
        <w:pStyle w:val="ListParagraph"/>
        <w:numPr>
          <w:ilvl w:val="0"/>
          <w:numId w:val="2"/>
        </w:numPr>
        <w:bidi/>
        <w:spacing w:after="120" w:before="0" w:line="360" w:lineRule="auto"/>
        <w:jc w:val="both"/>
      </w:pPr>
      <w:r>
        <w:rPr>
          <w:rFonts w:ascii="David" w:cs="David" w:eastAsia="David" w:hAnsi="David"/>
          <w:b w:val="false"/>
          <w:bCs w:val="false"/>
          <w:sz w:val="24"/>
          <w:szCs w:val="24"/>
          <w:rtl/>
        </w:rPr>
        <w:t xml:space="preserve">צורף ייפוי כוח לבא-כוח.</w:t>
      </w:r>
    </w:p>
    <w:p>
      <w:pPr>
        <w:pStyle w:val="ListParagraph"/>
        <w:numPr>
          <w:ilvl w:val="0"/>
          <w:numId w:val="2"/>
        </w:numPr>
        <w:bidi/>
        <w:spacing w:after="120" w:before="0" w:line="360" w:lineRule="auto"/>
        <w:jc w:val="both"/>
      </w:pPr>
      <w:r>
        <w:rPr>
          <w:rFonts w:ascii="David" w:cs="David" w:eastAsia="David" w:hAnsi="David"/>
          <w:b w:val="false"/>
          <w:bCs w:val="false"/>
          <w:sz w:val="24"/>
          <w:szCs w:val="24"/>
          <w:rtl/>
        </w:rPr>
        <w:t xml:space="preserve">נבדק אם נדרשת אגרה בגין הבקשה, ומספר העותקים הנדרש להגשה.</w:t>
      </w:r>
    </w:p>
    <w:p>
      <w:pPr>
        <w:pStyle w:val="ListParagraph"/>
        <w:numPr>
          <w:ilvl w:val="0"/>
          <w:numId w:val="2"/>
        </w:numPr>
        <w:bidi/>
        <w:spacing w:after="120" w:before="0" w:line="360" w:lineRule="auto"/>
        <w:jc w:val="both"/>
      </w:pPr>
      <w:r>
        <w:rPr>
          <w:rFonts w:ascii="David" w:cs="David" w:eastAsia="David" w:hAnsi="David"/>
          <w:b w:val="false"/>
          <w:bCs w:val="false"/>
          <w:sz w:val="24"/>
          <w:szCs w:val="24"/>
          <w:rtl/>
        </w:rPr>
        <w:t xml:space="preserve">נבדק אם קיים תסקיר עו"ס או דיווח ממרכז הקשר שניתן לצרף או לבקש את הגשתו.</w:t>
      </w:r>
    </w:p>
    <w:sectPr>
      <w:footerReference w:type="default" r:id="rId7"/>
      <w:pgSz w:w="11906" w:h="16838" w:orient="portrait"/>
      <w:pgMar w:top="850" w:right="1417" w:bottom="646" w:left="1417" w:header="454" w:footer="34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David" w:cs="David" w:eastAsia="David" w:hAnsi="David"/>
        <w:b w:val="false"/>
        <w:bCs w:val="false"/>
        <w:sz w:val="18"/>
        <w:szCs w:val="18"/>
        <w:rtl/>
      </w:rPr>
      <w:t xml:space="preserve">- </w:t>
    </w:r>
    <w:r>
      <w:rPr>
        <w:rFonts w:ascii="David" w:cs="David" w:eastAsia="David" w:hAnsi="David"/>
        <w:sz w:val="18"/>
        <w:szCs w:val="18"/>
        <w:rtl/>
      </w:rPr>
      <w:fldChar w:fldCharType="begin"/>
      <w:instrText xml:space="preserve">PAGE</w:instrText>
      <w:fldChar w:fldCharType="separate"/>
      <w:fldChar w:fldCharType="end"/>
    </w:r>
    <w:r>
      <w:rPr>
        <w:rFonts w:ascii="David" w:cs="David" w:eastAsia="David" w:hAnsi="David"/>
        <w:b w:val="false"/>
        <w:bCs w:val="false"/>
        <w:sz w:val="18"/>
        <w:szCs w:val="18"/>
        <w:rtl/>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suff w:val="tab"/>
      <w:lvlText w:val="%1."/>
      <w:lvlJc w:val="start"/>
      <w:pPr>
        <w:ind w:left="47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בקשה לקביעת גיל</dc:title>
  <dc:creator>Legal DOCX</dc:creator>
  <cp:lastModifiedBy>Un-named</cp:lastModifiedBy>
  <cp:revision>1</cp:revision>
  <dcterms:created xsi:type="dcterms:W3CDTF">2026-08-18T11:41:14.764Z</dcterms:created>
  <dcterms:modified xsi:type="dcterms:W3CDTF">2026-08-18T11:41:14.764Z</dcterms:modified>
</cp:coreProperties>
</file>

<file path=docProps/custom.xml><?xml version="1.0" encoding="utf-8"?>
<Properties xmlns="http://schemas.openxmlformats.org/officeDocument/2006/custom-properties" xmlns:vt="http://schemas.openxmlformats.org/officeDocument/2006/docPropsVTypes"/>
</file>