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bidiVisual/>
        <w:tblW w:type="dxa" w:w="9072"/>
        <w:tblBorders>
          <w:top w:val="none" w:color="FFFFFF" w:sz="0"/>
          <w:left w:val="none" w:color="FFFFFF" w:sz="0"/>
          <w:bottom w:val="none" w:color="FFFFFF" w:sz="0"/>
          <w:right w:val="none" w:color="FFFFFF" w:sz="0"/>
          <w:insideH w:val="none" w:color="FFFFFF" w:sz="0"/>
          <w:insideV w:val="none" w:color="FFFFFF" w:sz="0"/>
        </w:tblBorders>
      </w:tblPr>
      <w:tblGrid>
        <w:gridCol w:w="4536"/>
        <w:gridCol w:w="4536"/>
      </w:tblGrid>
      <w:tr>
        <w:tc>
          <w:tcPr>
            <w:tcW w:type="dxa" w:w="4536"/>
            <w:tcBorders>
              <w:top w:val="none" w:color="FFFFFF" w:sz="0"/>
              <w:left w:val="none" w:color="FFFFFF" w:sz="0"/>
              <w:bottom w:val="none" w:color="FFFFFF" w:sz="0"/>
              <w:right w:val="none" w:color="FFFFFF" w:sz="0"/>
            </w:tcBorders>
            <w:tcMar>
              <w:top w:type="dxa" w:w="60"/>
              <w:left w:type="dxa" w:w="100"/>
              <w:bottom w:type="dxa" w:w="60"/>
              <w:right w:type="dxa" w:w="100"/>
            </w:tcMar>
          </w:tcPr>
          <w:p>
            <w:pPr>
              <w:bidi/>
              <w:spacing w:after="0" w:before="0" w:line="360" w:lineRule="auto"/>
              <w:jc w:val="start"/>
            </w:pPr>
            <w:r>
              <w:rPr>
                <w:rFonts w:ascii="David" w:cs="David" w:eastAsia="David" w:hAnsi="David"/>
                <w:b/>
                <w:bCs/>
                <w:sz w:val="26"/>
                <w:szCs w:val="26"/>
                <w:rtl/>
              </w:rPr>
              <w:t xml:space="preserve">בבית המשפט לענייני משפחה בחיפה</w:t>
            </w:r>
          </w:p>
        </w:tc>
        <w:tc>
          <w:tcPr>
            <w:tcW w:type="dxa" w:w="4536"/>
            <w:tcBorders>
              <w:top w:val="none" w:color="FFFFFF" w:sz="0"/>
              <w:left w:val="none" w:color="FFFFFF" w:sz="0"/>
              <w:bottom w:val="none" w:color="FFFFFF" w:sz="0"/>
              <w:right w:val="none" w:color="FFFFFF" w:sz="0"/>
            </w:tcBorders>
            <w:tcMar>
              <w:top w:type="dxa" w:w="60"/>
              <w:left w:type="dxa" w:w="100"/>
              <w:bottom w:type="dxa" w:w="60"/>
              <w:right w:type="dxa" w:w="100"/>
            </w:tcMar>
          </w:tcPr>
          <w:p>
            <w:pPr>
              <w:bidi/>
              <w:spacing w:after="0" w:before="0" w:line="360" w:lineRule="auto"/>
              <w:jc w:val="end"/>
            </w:pPr>
            <w:r>
              <w:rPr>
                <w:rFonts w:ascii="David" w:cs="David" w:eastAsia="David" w:hAnsi="David"/>
                <w:b/>
                <w:bCs/>
                <w:sz w:val="26"/>
                <w:szCs w:val="26"/>
                <w:rtl/>
              </w:rPr>
              <w:t xml:space="preserve">מספר תיק: ______________</w:t>
            </w:r>
          </w:p>
        </w:tc>
      </w:tr>
    </w:tbl>
    <w:p>
      <w:pPr>
        <w:bidi/>
        <w:spacing w:after="0" w:before="120" w:line="360" w:lineRule="auto"/>
        <w:jc w:val="both"/>
      </w:pPr>
      <w:r>
        <w:rPr>
          <w:rFonts w:ascii="David" w:cs="David" w:eastAsia="David" w:hAnsi="David"/>
          <w:b/>
          <w:bCs/>
          <w:sz w:val="24"/>
          <w:szCs w:val="24"/>
          <w:rtl/>
        </w:rPr>
        <w:t xml:space="preserve">המבקשת:</w:t>
      </w:r>
      <w:r>
        <w:rPr>
          <w:rFonts w:ascii="David" w:cs="David" w:eastAsia="David" w:hAnsi="David"/>
          <w:b w:val="false"/>
          <w:bCs w:val="false"/>
          <w:sz w:val="24"/>
          <w:szCs w:val="24"/>
          <w:rtl/>
        </w:rPr>
        <w:t xml:space="preserve">	__________, ת.ז. __________, מרחוב __________, __________</w:t>
      </w:r>
    </w:p>
    <w:p>
      <w:pPr>
        <w:bidi/>
        <w:spacing w:after="0" w:before="0" w:line="360" w:lineRule="auto"/>
        <w:jc w:val="both"/>
      </w:pPr>
      <w:r>
        <w:rPr>
          <w:rFonts w:ascii="David" w:cs="David" w:eastAsia="David" w:hAnsi="David"/>
          <w:b w:val="false"/>
          <w:bCs w:val="false"/>
          <w:sz w:val="24"/>
          <w:szCs w:val="24"/>
          <w:rtl/>
        </w:rPr>
        <w:t xml:space="preserve">		ע"י ב"כ עו"ד __________, מ.ר. __________, מרחוב __________</w:t>
      </w:r>
    </w:p>
    <w:p>
      <w:pPr>
        <w:bidi/>
        <w:spacing w:after="60" w:before="60" w:line="360" w:lineRule="auto"/>
        <w:jc w:val="center"/>
      </w:pPr>
      <w:r>
        <w:rPr>
          <w:rFonts w:ascii="David" w:cs="David" w:eastAsia="David" w:hAnsi="David"/>
          <w:b/>
          <w:bCs/>
          <w:sz w:val="24"/>
          <w:szCs w:val="24"/>
          <w:rtl/>
        </w:rPr>
        <w:t xml:space="preserve">- נ ג ד -</w:t>
      </w:r>
    </w:p>
    <w:p>
      <w:pPr>
        <w:bidi/>
        <w:spacing w:after="0" w:before="0" w:line="360" w:lineRule="auto"/>
        <w:jc w:val="both"/>
      </w:pPr>
      <w:r>
        <w:rPr>
          <w:rFonts w:ascii="David" w:cs="David" w:eastAsia="David" w:hAnsi="David"/>
          <w:b/>
          <w:bCs/>
          <w:sz w:val="24"/>
          <w:szCs w:val="24"/>
          <w:rtl/>
        </w:rPr>
        <w:t xml:space="preserve">המשיב:</w:t>
      </w:r>
      <w:r>
        <w:rPr>
          <w:rFonts w:ascii="David" w:cs="David" w:eastAsia="David" w:hAnsi="David"/>
          <w:b w:val="false"/>
          <w:bCs w:val="false"/>
          <w:sz w:val="24"/>
          <w:szCs w:val="24"/>
          <w:rtl/>
        </w:rPr>
        <w:t xml:space="preserve">	__________, ת.ז. __________, מרחוב __________, __________</w:t>
      </w:r>
    </w:p>
    <w:p>
      <w:pPr>
        <w:bidi/>
        <w:spacing w:after="160" w:before="160" w:line="360" w:lineRule="auto"/>
        <w:jc w:val="center"/>
      </w:pPr>
      <w:r>
        <w:rPr>
          <w:rFonts w:ascii="David" w:cs="David" w:eastAsia="David" w:hAnsi="David"/>
          <w:b/>
          <w:bCs/>
          <w:sz w:val="32"/>
          <w:szCs w:val="32"/>
          <w:u w:val="double"/>
          <w:rtl/>
        </w:rPr>
        <w:t xml:space="preserve">בקשה דחופה להארכת תוקפו של צו הגנה</w:t>
      </w:r>
    </w:p>
    <w:p>
      <w:pPr>
        <w:bidi/>
        <w:spacing w:after="140" w:before="0" w:line="360" w:lineRule="auto"/>
        <w:jc w:val="center"/>
      </w:pPr>
      <w:r>
        <w:rPr>
          <w:rFonts w:ascii="David" w:cs="David" w:eastAsia="David" w:hAnsi="David"/>
          <w:b/>
          <w:bCs/>
          <w:sz w:val="24"/>
          <w:szCs w:val="24"/>
          <w:rtl/>
        </w:rPr>
        <w:t xml:space="preserve">(לפי סעיף 5 לחוק למניעת אלימות במשפחה, התשנ"א–1991)</w:t>
      </w:r>
    </w:p>
    <w:p>
      <w:pPr>
        <w:bidi/>
        <w:spacing w:after="60" w:before="0" w:line="360" w:lineRule="auto"/>
        <w:jc w:val="both"/>
      </w:pPr>
      <w:r>
        <w:rPr>
          <w:rFonts w:ascii="David" w:cs="David" w:eastAsia="David" w:hAnsi="David"/>
          <w:b w:val="false"/>
          <w:bCs w:val="false"/>
          <w:sz w:val="24"/>
          <w:szCs w:val="24"/>
          <w:rtl/>
        </w:rPr>
        <w:t xml:space="preserve">בית המשפט הנכבד מתבקש בזאת להאריך בשלושה חודשים נוספים את תוקפו של צו ההגנה שניתן בעניינם של הצדדים ביום 12.3.2026, על כל תנאיו המגבילים, ולהורות כי יעמוד בתוקפו עד להכרעה בבקשה. ואלו נימוקי הבקשה:</w:t>
      </w:r>
    </w:p>
    <w:p>
      <w:pPr>
        <w:pStyle w:val="ListParagraph"/>
        <w:numPr>
          <w:ilvl w:val="0"/>
          <w:numId w:val="2"/>
        </w:numPr>
        <w:bidi/>
        <w:spacing w:after="120" w:before="0" w:line="360" w:lineRule="auto"/>
        <w:jc w:val="both"/>
      </w:pPr>
      <w:r>
        <w:rPr>
          <w:rFonts w:ascii="David" w:cs="David" w:eastAsia="David" w:hAnsi="David"/>
          <w:b w:val="false"/>
          <w:bCs w:val="false"/>
          <w:sz w:val="24"/>
          <w:szCs w:val="24"/>
          <w:rtl/>
        </w:rPr>
        <w:t xml:space="preserve">ביום 12.3.2026 נתן בית משפט נכבד זה צו הגנה בעניינם של הצדדים, לתקופה התחלתית בת 90 ימים; בתום תקופה זו הוארך תוקפו של הצו בשלושה חודשים נוספים, והוא צפוי לפקוע ביום 15.9.2026.</w:t>
      </w:r>
    </w:p>
    <w:p>
      <w:pPr>
        <w:pStyle w:val="ListParagraph"/>
        <w:numPr>
          <w:ilvl w:val="0"/>
          <w:numId w:val="2"/>
        </w:numPr>
        <w:bidi/>
        <w:spacing w:after="120" w:before="0" w:line="360" w:lineRule="auto"/>
        <w:jc w:val="both"/>
      </w:pPr>
      <w:r>
        <w:rPr>
          <w:rFonts w:ascii="David" w:cs="David" w:eastAsia="David" w:hAnsi="David"/>
          <w:b w:val="false"/>
          <w:bCs w:val="false"/>
          <w:sz w:val="24"/>
          <w:szCs w:val="24"/>
          <w:rtl/>
        </w:rPr>
        <w:t xml:space="preserve">המבקשת עותרת להארכת תוקף הצו בשלושה חודשים נוספים, להבטחת שלומה וביטחונה ושל הקטינים. סעיף 5 לחוק למניעת אלימות במשפחה, התשנ"א–1991, מסמיך את בית המשפט להאריך את תוקפו של צו הגנה מפעם לפעם, ומנימוקים מיוחדים שיפורטו בהחלטה רשאי בית המשפט להאריכו לתקופה כוללת שלא תעלה על שנה אחת. ההארכה המבוקשת מצויה אפוא בגדרי סמכותו של בית המשפט הנכבד, והנימוקים המיוחדים המצדיקים אותה מפורטים להלן.</w:t>
      </w:r>
    </w:p>
    <w:p>
      <w:pPr>
        <w:pStyle w:val="ListParagraph"/>
        <w:numPr>
          <w:ilvl w:val="0"/>
          <w:numId w:val="2"/>
        </w:numPr>
        <w:bidi/>
        <w:spacing w:after="120" w:before="0" w:line="360" w:lineRule="auto"/>
        <w:jc w:val="both"/>
      </w:pPr>
      <w:r>
        <w:rPr>
          <w:rFonts w:ascii="David" w:cs="David" w:eastAsia="David" w:hAnsi="David"/>
          <w:b w:val="false"/>
          <w:bCs w:val="false"/>
          <w:sz w:val="24"/>
          <w:szCs w:val="24"/>
          <w:rtl/>
        </w:rPr>
        <w:t xml:space="preserve">מאז מתן הצו נשמר שקט יחסי, והמשיב אינו מתגורר בדירת הצדדים מאז אמצע שנת 2025. ודוק; השקט שנשמר הוא פרי הצו עצמו, וההארכה נועדה לשמר יציבות זו ולמנוע הישנות של אירועי העבר, אשר הובילו להליך הפלילי ולצו המקורי.</w:t>
      </w:r>
    </w:p>
    <w:p>
      <w:pPr>
        <w:pStyle w:val="ListParagraph"/>
        <w:numPr>
          <w:ilvl w:val="0"/>
          <w:numId w:val="2"/>
        </w:numPr>
        <w:bidi/>
        <w:spacing w:after="120" w:before="0" w:line="360" w:lineRule="auto"/>
        <w:jc w:val="both"/>
      </w:pPr>
      <w:r>
        <w:rPr>
          <w:rFonts w:ascii="David" w:cs="David" w:eastAsia="David" w:hAnsi="David"/>
          <w:b w:val="false"/>
          <w:bCs w:val="false"/>
          <w:sz w:val="24"/>
          <w:szCs w:val="24"/>
          <w:rtl/>
        </w:rPr>
        <w:t xml:space="preserve">בין הצדדים אף מתנהל בבית משפט נכבד זה הליך למזונות קטינים, התלוי ועומד. קיומו של הליך פעיל בין הצדדים מחזק את הצורך בשמירת מסגרת יציבה ומוגנת עד להכרעה בו.</w:t>
      </w:r>
    </w:p>
    <w:p>
      <w:pPr>
        <w:pStyle w:val="ListParagraph"/>
        <w:numPr>
          <w:ilvl w:val="0"/>
          <w:numId w:val="2"/>
        </w:numPr>
        <w:bidi/>
        <w:spacing w:after="120" w:before="0" w:line="360" w:lineRule="auto"/>
        <w:jc w:val="both"/>
      </w:pPr>
      <w:r>
        <w:rPr>
          <w:rFonts w:ascii="David" w:cs="David" w:eastAsia="David" w:hAnsi="David"/>
          <w:b w:val="false"/>
          <w:bCs w:val="false"/>
          <w:sz w:val="24"/>
          <w:szCs w:val="24"/>
          <w:rtl/>
        </w:rPr>
        <w:t xml:space="preserve">אין בהארכת הצו כדי למנוע קשר בין המשיב לקטינים. המבקשת מאפשרת את קיום המפגשים בתיאום עם גורמי הרווחה ומרכז הקשר "פל"א", בהתאם למתווה שעוגן בדיון מיום 12.3.2026. המפגשים החלו כסדרם, ואולם בהמשך ביטל המשיב שישה מפגשים עם הקטינים, בלא שנתן הסבר או נימוק כלשהו. אין בכך כדי לגרוע מנכונות המבקשת להוסיף ולקיים את המתווה שנקבע.</w:t>
      </w:r>
    </w:p>
    <w:p>
      <w:pPr>
        <w:pStyle w:val="ListParagraph"/>
        <w:numPr>
          <w:ilvl w:val="0"/>
          <w:numId w:val="2"/>
        </w:numPr>
        <w:bidi/>
        <w:spacing w:after="120" w:before="0" w:line="360" w:lineRule="auto"/>
        <w:jc w:val="both"/>
      </w:pPr>
      <w:r>
        <w:rPr>
          <w:rFonts w:ascii="David" w:cs="David" w:eastAsia="David" w:hAnsi="David"/>
          <w:b w:val="false"/>
          <w:bCs w:val="false"/>
          <w:sz w:val="24"/>
          <w:szCs w:val="24"/>
          <w:rtl/>
        </w:rPr>
        <w:t xml:space="preserve">פקיעת הצו בעיתוי הנוכחי עלולה לעורר מחדש מתיחות ולפגוע בתחושת המוגנות של המבקשת, המטופלת במרכז "תפנית" לנפגעות אלימות במשפחה, והמטפלת בשלושה ילדים רכים בשנים.</w:t>
      </w:r>
    </w:p>
    <w:p>
      <w:pPr>
        <w:pStyle w:val="ListParagraph"/>
        <w:numPr>
          <w:ilvl w:val="0"/>
          <w:numId w:val="2"/>
        </w:numPr>
        <w:bidi/>
        <w:spacing w:after="120" w:before="0" w:line="360" w:lineRule="auto"/>
        <w:jc w:val="both"/>
      </w:pPr>
      <w:r>
        <w:rPr>
          <w:rFonts w:ascii="David" w:cs="David" w:eastAsia="David" w:hAnsi="David"/>
          <w:b w:val="false"/>
          <w:bCs w:val="false"/>
          <w:sz w:val="24"/>
          <w:szCs w:val="24"/>
          <w:rtl/>
        </w:rPr>
        <w:t xml:space="preserve">אשר על כן, מתבקש בית המשפט הנכבד להאריך את תוקף הצו כמבוקש; להורות כי יוותר על כנו עד להכרעה בבקשה; וכי כל יתר התנאים המגבילים שנקבעו בצו המקורי, לרבות האיסורים על הטרדה, בילוש ומעקב, יוסיפו לחול כלשונם לאורך תקופת ההארכה; וכן להורות למשיב לקיים את המפגשים עם הקטינים במרכז הקשר כסדרם ולהודיע מראש ובצירוף נימוק על כל היעדרות, ולהורות למרכז הקשר להגיש דיווח על המפגשים שהתקיימו ועל אלה שבוטלו.</w:t>
      </w:r>
    </w:p>
    <w:p>
      <w:pPr>
        <w:pStyle w:val="ListParagraph"/>
        <w:numPr>
          <w:ilvl w:val="0"/>
          <w:numId w:val="2"/>
        </w:numPr>
        <w:bidi/>
        <w:spacing w:after="120" w:before="0" w:line="360" w:lineRule="auto"/>
        <w:jc w:val="both"/>
      </w:pPr>
      <w:r>
        <w:rPr>
          <w:rFonts w:ascii="David" w:cs="David" w:eastAsia="David" w:hAnsi="David"/>
          <w:b w:val="false"/>
          <w:bCs w:val="false"/>
          <w:sz w:val="24"/>
          <w:szCs w:val="24"/>
          <w:rtl/>
        </w:rPr>
        <w:t xml:space="preserve">הבקשה נתמכת בתצהיר המבקשת. מן הדין ומן הצדק להיעתר לה.</w:t>
      </w:r>
    </w:p>
    <w:p>
      <w:pPr>
        <w:bidi/>
        <w:spacing w:after="120" w:before="180" w:line="360" w:lineRule="auto"/>
        <w:jc w:val="start"/>
      </w:pPr>
      <w:r>
        <w:rPr>
          <w:rFonts w:ascii="David" w:cs="David" w:eastAsia="David" w:hAnsi="David"/>
          <w:b w:val="false"/>
          <w:bCs w:val="false"/>
          <w:sz w:val="24"/>
          <w:szCs w:val="24"/>
          <w:rtl/>
        </w:rPr>
        <w:t xml:space="preserve">תאריך: ______________</w:t>
      </w:r>
    </w:p>
    <w:p>
      <w:pPr>
        <w:bidi/>
        <w:spacing w:after="0" w:before="0" w:line="360" w:lineRule="auto"/>
        <w:jc w:val="center"/>
      </w:pPr>
      <w:r>
        <w:rPr>
          <w:rFonts w:ascii="David" w:cs="David" w:eastAsia="David" w:hAnsi="David"/>
          <w:b w:val="false"/>
          <w:bCs w:val="false"/>
          <w:sz w:val="24"/>
          <w:szCs w:val="24"/>
          <w:rtl/>
        </w:rPr>
        <w:t xml:space="preserve">_______________________</w:t>
      </w:r>
    </w:p>
    <w:p>
      <w:pPr>
        <w:bidi/>
        <w:spacing w:after="0" w:before="0" w:line="360" w:lineRule="auto"/>
        <w:jc w:val="center"/>
      </w:pPr>
      <w:r>
        <w:rPr>
          <w:rFonts w:ascii="David" w:cs="David" w:eastAsia="David" w:hAnsi="David"/>
          <w:b w:val="false"/>
          <w:bCs w:val="false"/>
          <w:sz w:val="24"/>
          <w:szCs w:val="24"/>
          <w:rtl/>
        </w:rPr>
        <w:t xml:space="preserve">______________, עו"ד</w:t>
      </w:r>
    </w:p>
    <w:p>
      <w:pPr>
        <w:bidi/>
        <w:spacing w:after="0" w:before="0" w:line="360" w:lineRule="auto"/>
        <w:jc w:val="center"/>
      </w:pPr>
      <w:r>
        <w:rPr>
          <w:rFonts w:ascii="David" w:cs="David" w:eastAsia="David" w:hAnsi="David"/>
          <w:b w:val="false"/>
          <w:bCs w:val="false"/>
          <w:sz w:val="24"/>
          <w:szCs w:val="24"/>
          <w:rtl/>
        </w:rPr>
        <w:t xml:space="preserve">ב"כ המבקשת</w:t>
      </w:r>
    </w:p>
    <w:sectPr>
      <w:footerReference w:type="default" r:id="rId7"/>
      <w:pgSz w:w="11906" w:h="16838" w:orient="portrait"/>
      <w:pgMar w:top="850" w:right="1417" w:bottom="646" w:left="1417" w:header="454" w:footer="34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David" w:cs="David" w:eastAsia="David" w:hAnsi="David"/>
        <w:b w:val="false"/>
        <w:bCs w:val="false"/>
        <w:sz w:val="18"/>
        <w:szCs w:val="18"/>
        <w:rtl/>
      </w:rPr>
      <w:t xml:space="preserve">- </w:t>
    </w:r>
    <w:r>
      <w:rPr>
        <w:rFonts w:ascii="David" w:cs="David" w:eastAsia="David" w:hAnsi="David"/>
        <w:sz w:val="18"/>
        <w:szCs w:val="18"/>
        <w:rtl/>
      </w:rPr>
      <w:fldChar w:fldCharType="begin"/>
      <w:instrText xml:space="preserve">PAGE</w:instrText>
      <w:fldChar w:fldCharType="separate"/>
      <w:fldChar w:fldCharType="end"/>
    </w:r>
    <w:r>
      <w:rPr>
        <w:rFonts w:ascii="David" w:cs="David" w:eastAsia="David" w:hAnsi="David"/>
        <w:b w:val="false"/>
        <w:bCs w:val="false"/>
        <w:sz w:val="18"/>
        <w:szCs w:val="18"/>
        <w:rtl/>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suff w:val="tab"/>
      <w:lvlText w:val="%1."/>
      <w:lvlJc w:val="start"/>
      <w:pPr>
        <w:ind w:left="47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בקשה לקביעת גיל</dc:title>
  <dc:creator>Legal DOCX</dc:creator>
  <cp:lastModifiedBy>Un-named</cp:lastModifiedBy>
  <cp:revision>1</cp:revision>
  <dcterms:created xsi:type="dcterms:W3CDTF">2026-08-18T11:41:14.764Z</dcterms:created>
  <dcterms:modified xsi:type="dcterms:W3CDTF">2026-08-18T11:41:14.764Z</dcterms:modified>
</cp:coreProperties>
</file>

<file path=docProps/custom.xml><?xml version="1.0" encoding="utf-8"?>
<Properties xmlns="http://schemas.openxmlformats.org/officeDocument/2006/custom-properties" xmlns:vt="http://schemas.openxmlformats.org/officeDocument/2006/docPropsVTypes"/>
</file>