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10"/>
              <w:bottom w:type="dxa" w:w="60"/>
              <w:right w:type="dxa" w:w="110"/>
            </w:tcMar>
          </w:tcPr>
          <w:p>
            <w:pPr>
              <w:bidi/>
              <w:spacing w:line="260" w:lineRule="auto"/>
              <w:jc w:val="start"/>
            </w:pPr>
            <w:r>
              <w:rPr>
                <w:rFonts w:ascii="David" w:cs="David" w:eastAsia="David" w:hAnsi="David"/>
                <w:b/>
                <w:bCs/>
                <w:sz w:val="26"/>
                <w:szCs w:val="26"/>
                <w:rtl/>
              </w:rPr>
              <w:t xml:space="preserve">בבית המשפט לענייני משפחה בראשון לציון</w:t>
            </w:r>
          </w:p>
        </w:tc>
        <w:tc>
          <w:tcPr>
            <w:tcW w:type="dxa" w:w="4536"/>
            <w:tcBorders>
              <w:top w:val="none" w:color="FFFFFF" w:sz="0"/>
              <w:left w:val="none" w:color="FFFFFF" w:sz="0"/>
              <w:bottom w:val="none" w:color="FFFFFF" w:sz="0"/>
              <w:right w:val="none" w:color="FFFFFF" w:sz="0"/>
            </w:tcBorders>
            <w:tcMar>
              <w:top w:type="dxa" w:w="60"/>
              <w:left w:type="dxa" w:w="110"/>
              <w:bottom w:type="dxa" w:w="60"/>
              <w:right w:type="dxa" w:w="110"/>
            </w:tcMar>
          </w:tcPr>
          <w:p>
            <w:pPr>
              <w:bidi/>
              <w:spacing w:line="260" w:lineRule="auto"/>
              <w:jc w:val="end"/>
            </w:pPr>
            <w:r>
              <w:rPr>
                <w:rFonts w:ascii="David" w:cs="David" w:eastAsia="David" w:hAnsi="David"/>
                <w:b/>
                <w:bCs/>
                <w:sz w:val="26"/>
                <w:szCs w:val="26"/>
                <w:rtl/>
              </w:rPr>
              <w:t xml:space="preserve">תמ"ש 49199/09/2023</w:t>
            </w:r>
          </w:p>
        </w:tc>
      </w:tr>
      <w:tr>
        <w:tc>
          <w:tcPr>
            <w:tcW w:type="dxa" w:w="4536"/>
            <w:tcBorders>
              <w:top w:val="none" w:color="FFFFFF" w:sz="0"/>
              <w:left w:val="none" w:color="FFFFFF" w:sz="0"/>
              <w:bottom w:val="none" w:color="FFFFFF" w:sz="0"/>
              <w:right w:val="none" w:color="FFFFFF" w:sz="0"/>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
            </w:r>
          </w:p>
        </w:tc>
        <w:tc>
          <w:tcPr>
            <w:tcW w:type="dxa" w:w="4536"/>
            <w:tcBorders>
              <w:top w:val="none" w:color="FFFFFF" w:sz="0"/>
              <w:left w:val="none" w:color="FFFFFF" w:sz="0"/>
              <w:bottom w:val="none" w:color="FFFFFF" w:sz="0"/>
              <w:right w:val="none" w:color="FFFFFF" w:sz="0"/>
            </w:tcBorders>
            <w:tcMar>
              <w:top w:type="dxa" w:w="60"/>
              <w:left w:type="dxa" w:w="110"/>
              <w:bottom w:type="dxa" w:w="60"/>
              <w:right w:type="dxa" w:w="110"/>
            </w:tcMar>
          </w:tcPr>
          <w:p>
            <w:pPr>
              <w:bidi/>
              <w:spacing w:line="260" w:lineRule="auto"/>
              <w:jc w:val="end"/>
            </w:pPr>
            <w:r>
              <w:rPr>
                <w:rFonts w:ascii="David" w:cs="David" w:eastAsia="David" w:hAnsi="David"/>
                <w:b/>
                <w:bCs/>
                <w:sz w:val="24"/>
                <w:szCs w:val="24"/>
                <w:rtl/>
              </w:rPr>
              <w:t xml:space="preserve">בפני כב' השופט/ת: אליהו</w:t>
            </w:r>
          </w:p>
        </w:tc>
      </w:tr>
    </w:tbl>
    <w:p>
      <w:pPr>
        <w:spacing w:after="200"/>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00"/>
        <w:gridCol w:w="7172"/>
      </w:tblGrid>
      <w:tr>
        <w:tc>
          <w:tcPr>
            <w:tcW w:type="dxa" w:w="1900"/>
            <w:tcBorders>
              <w:top w:val="none" w:color="FFFFFF" w:sz="0"/>
              <w:left w:val="none" w:color="FFFFFF" w:sz="0"/>
              <w:bottom w:val="none" w:color="FFFFFF" w:sz="0"/>
              <w:right w:val="none" w:color="FFFFFF" w:sz="0"/>
            </w:tcBorders>
            <w:tcMar>
              <w:top w:type="dxa" w:w="60"/>
              <w:left w:type="dxa" w:w="110"/>
              <w:bottom w:type="dxa" w:w="60"/>
              <w:right w:type="dxa" w:w="110"/>
            </w:tcMar>
          </w:tcPr>
          <w:p>
            <w:pPr>
              <w:bidi/>
              <w:spacing w:line="260" w:lineRule="auto"/>
              <w:jc w:val="start"/>
            </w:pPr>
            <w:r>
              <w:rPr>
                <w:rFonts w:ascii="David" w:cs="David" w:eastAsia="David" w:hAnsi="David"/>
                <w:b/>
                <w:bCs/>
                <w:sz w:val="24"/>
                <w:szCs w:val="24"/>
                <w:rtl/>
              </w:rPr>
              <w:t xml:space="preserve">המבקש:</w:t>
            </w:r>
          </w:p>
        </w:tc>
        <w:tc>
          <w:tcPr>
            <w:tcW w:type="dxa" w:w="7172"/>
            <w:tcBorders>
              <w:top w:val="none" w:color="FFFFFF" w:sz="0"/>
              <w:left w:val="none" w:color="FFFFFF" w:sz="0"/>
              <w:bottom w:val="none" w:color="FFFFFF" w:sz="0"/>
              <w:right w:val="none" w:color="FFFFFF" w:sz="0"/>
            </w:tcBorders>
            <w:tcMar>
              <w:top w:type="dxa" w:w="40"/>
              <w:left w:type="dxa" w:w="110"/>
              <w:bottom w:type="dxa" w:w="40"/>
              <w:right w:type="dxa" w:w="110"/>
            </w:tcMar>
          </w:tcPr>
          <w:p>
            <w:pPr>
              <w:bidi/>
              <w:spacing w:line="260" w:lineRule="auto"/>
              <w:jc w:val="start"/>
            </w:pPr>
            <w:r>
              <w:rPr>
                <w:rFonts w:ascii="David" w:cs="David" w:eastAsia="David" w:hAnsi="David"/>
                <w:b/>
                <w:bCs/>
                <w:sz w:val="24"/>
                <w:szCs w:val="24"/>
                <w:rtl/>
              </w:rPr>
              <w:t xml:space="preserve">בילילין באביי, ת.ז. 328811385</w:t>
            </w:r>
          </w:p>
          <w:p>
            <w:pPr>
              <w:bidi/>
              <w:spacing w:line="260" w:lineRule="auto"/>
              <w:jc w:val="start"/>
            </w:pPr>
            <w:r>
              <w:rPr>
                <w:rFonts w:ascii="David" w:cs="David" w:eastAsia="David" w:hAnsi="David"/>
                <w:b w:val="false"/>
                <w:bCs w:val="false"/>
                <w:sz w:val="24"/>
                <w:szCs w:val="24"/>
                <w:rtl/>
              </w:rPr>
              <w:t xml:space="preserve">ע"י ב"כ עו"ד סולומון טקה</w:t>
            </w:r>
          </w:p>
          <w:p>
            <w:pPr>
              <w:bidi/>
              <w:spacing w:line="260" w:lineRule="auto"/>
              <w:jc w:val="start"/>
            </w:pPr>
            <w:r>
              <w:rPr>
                <w:rFonts w:ascii="David" w:cs="David" w:eastAsia="David" w:hAnsi="David"/>
                <w:b w:val="false"/>
                <w:bCs w:val="false"/>
                <w:sz w:val="24"/>
                <w:szCs w:val="24"/>
                <w:rtl/>
              </w:rPr>
              <w:t xml:space="preserve">פינסקר 214, נתניה</w:t>
            </w:r>
          </w:p>
        </w:tc>
      </w:tr>
    </w:tbl>
    <w:p>
      <w:pPr>
        <w:bidi/>
        <w:spacing w:after="160" w:before="160"/>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00"/>
        <w:gridCol w:w="7172"/>
      </w:tblGrid>
      <w:tr>
        <w:tc>
          <w:tcPr>
            <w:tcW w:type="dxa" w:w="1900"/>
            <w:tcBorders>
              <w:top w:val="none" w:color="FFFFFF" w:sz="0"/>
              <w:left w:val="none" w:color="FFFFFF" w:sz="0"/>
              <w:bottom w:val="none" w:color="FFFFFF" w:sz="0"/>
              <w:right w:val="none" w:color="FFFFFF" w:sz="0"/>
            </w:tcBorders>
            <w:tcMar>
              <w:top w:type="dxa" w:w="60"/>
              <w:left w:type="dxa" w:w="110"/>
              <w:bottom w:type="dxa" w:w="60"/>
              <w:right w:type="dxa" w:w="110"/>
            </w:tcMar>
          </w:tcPr>
          <w:p>
            <w:pPr>
              <w:bidi/>
              <w:spacing w:line="260" w:lineRule="auto"/>
              <w:jc w:val="start"/>
            </w:pPr>
            <w:r>
              <w:rPr>
                <w:rFonts w:ascii="David" w:cs="David" w:eastAsia="David" w:hAnsi="David"/>
                <w:b/>
                <w:bCs/>
                <w:sz w:val="24"/>
                <w:szCs w:val="24"/>
                <w:rtl/>
              </w:rPr>
              <w:t xml:space="preserve">המשיב:</w:t>
            </w:r>
          </w:p>
        </w:tc>
        <w:tc>
          <w:tcPr>
            <w:tcW w:type="dxa" w:w="7172"/>
            <w:tcBorders>
              <w:top w:val="none" w:color="FFFFFF" w:sz="0"/>
              <w:left w:val="none" w:color="FFFFFF" w:sz="0"/>
              <w:bottom w:val="none" w:color="FFFFFF" w:sz="0"/>
              <w:right w:val="none" w:color="FFFFFF" w:sz="0"/>
            </w:tcBorders>
            <w:tcMar>
              <w:top w:type="dxa" w:w="40"/>
              <w:left w:type="dxa" w:w="110"/>
              <w:bottom w:type="dxa" w:w="40"/>
              <w:right w:type="dxa" w:w="110"/>
            </w:tcMar>
          </w:tcPr>
          <w:p>
            <w:pPr>
              <w:bidi/>
              <w:spacing w:line="260" w:lineRule="auto"/>
              <w:jc w:val="start"/>
            </w:pPr>
            <w:r>
              <w:rPr>
                <w:rFonts w:ascii="David" w:cs="David" w:eastAsia="David" w:hAnsi="David"/>
                <w:b/>
                <w:bCs/>
                <w:sz w:val="24"/>
                <w:szCs w:val="24"/>
                <w:rtl/>
              </w:rPr>
              <w:t xml:space="preserve">המוסד לביטוח לאומי</w:t>
            </w:r>
          </w:p>
          <w:p>
            <w:pPr>
              <w:bidi/>
              <w:spacing w:line="260" w:lineRule="auto"/>
              <w:jc w:val="start"/>
            </w:pPr>
            <w:r>
              <w:rPr>
                <w:rFonts w:ascii="David" w:cs="David" w:eastAsia="David" w:hAnsi="David"/>
                <w:b w:val="false"/>
                <w:bCs w:val="false"/>
                <w:sz w:val="24"/>
                <w:szCs w:val="24"/>
                <w:rtl/>
              </w:rPr>
              <w:t xml:space="preserve">ע"י ב"כ עו"ד רועי הררי ואח'</w:t>
            </w:r>
          </w:p>
          <w:p>
            <w:pPr>
              <w:bidi/>
              <w:spacing w:line="260" w:lineRule="auto"/>
              <w:jc w:val="start"/>
            </w:pPr>
            <w:r>
              <w:rPr>
                <w:rFonts w:ascii="David" w:cs="David" w:eastAsia="David" w:hAnsi="David"/>
                <w:b w:val="false"/>
                <w:bCs w:val="false"/>
                <w:sz w:val="24"/>
                <w:szCs w:val="24"/>
                <w:rtl/>
              </w:rPr>
              <w:t xml:space="preserve">ניסנבאום 37, בת ים</w:t>
            </w:r>
          </w:p>
          <w:p>
            <w:pPr>
              <w:bidi/>
              <w:spacing w:line="260" w:lineRule="auto"/>
              <w:jc w:val="start"/>
            </w:pPr>
            <w:r>
              <w:rPr>
                <w:rFonts w:ascii="David" w:cs="David" w:eastAsia="David" w:hAnsi="David"/>
                <w:b w:val="false"/>
                <w:bCs w:val="false"/>
                <w:sz w:val="24"/>
                <w:szCs w:val="24"/>
                <w:rtl/>
              </w:rPr>
              <w:t xml:space="preserve">טל' 03-6250730</w:t>
            </w:r>
          </w:p>
        </w:tc>
      </w:tr>
    </w:tbl>
    <w:p>
      <w:pPr>
        <w:bidi/>
        <w:spacing w:after="60" w:before="420"/>
        <w:jc w:val="center"/>
      </w:pPr>
      <w:r>
        <w:rPr>
          <w:rFonts w:ascii="David" w:cs="David" w:eastAsia="David" w:hAnsi="David"/>
          <w:b/>
          <w:bCs/>
          <w:sz w:val="28"/>
          <w:szCs w:val="28"/>
          <w:u w:val="single"/>
          <w:rtl/>
        </w:rPr>
        <w:t xml:space="preserve">תגובת המבקש לתשובת המשיב מיום 20.8.26</w:t>
      </w:r>
    </w:p>
    <w:p>
      <w:pPr>
        <w:bidi/>
        <w:spacing w:after="280"/>
        <w:jc w:val="center"/>
      </w:pPr>
      <w:r>
        <w:rPr>
          <w:rFonts w:ascii="David" w:cs="David" w:eastAsia="David" w:hAnsi="David"/>
          <w:b/>
          <w:bCs/>
          <w:sz w:val="24"/>
          <w:szCs w:val="24"/>
          <w:rtl/>
        </w:rPr>
        <w:t xml:space="preserve">(ובקשה למתן רשות להגיב, ככל שנדרשת)</w:t>
      </w:r>
    </w:p>
    <w:p>
      <w:pPr>
        <w:bidi/>
        <w:spacing w:after="180" w:before="0" w:line="360" w:lineRule="auto"/>
        <w:jc w:val="both"/>
      </w:pPr>
      <w:r>
        <w:rPr>
          <w:rFonts w:ascii="David" w:cs="David" w:eastAsia="David" w:hAnsi="David"/>
          <w:b w:val="false"/>
          <w:bCs w:val="false"/>
          <w:sz w:val="24"/>
          <w:szCs w:val="24"/>
          <w:rtl/>
        </w:rPr>
        <w:t xml:space="preserve">בית המשפט הנכבד מתבקש לדחות את טענותיו המקדמיות של המשיב שבתשובתו מיום 20.8.26 (להלן: "התשובה"), ולהכריע בבקשה המתוקנת לגופה. וזאת מן הטעמים שלהלן.</w:t>
      </w:r>
    </w:p>
    <w:p>
      <w:pPr>
        <w:bidi/>
        <w:spacing w:after="120" w:before="260" w:line="360" w:lineRule="auto"/>
        <w:jc w:val="start"/>
      </w:pPr>
      <w:r>
        <w:rPr>
          <w:rFonts w:ascii="David" w:cs="David" w:eastAsia="David" w:hAnsi="David"/>
          <w:b/>
          <w:bCs/>
          <w:sz w:val="24"/>
          <w:szCs w:val="24"/>
          <w:u w:val="single"/>
          <w:rtl/>
        </w:rPr>
        <w:t xml:space="preserve">א. רשות להגיב</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תקנה 50 לתקנות סדר הדין האזרחי, התשע"ט-2018 (להלן: "התקנות") אינה מסדירה הגשת תגובה מטעם המבקש לתשובת המשיב. ככל שנדרשת לכך רשות — מתבקש בית המשפט הנכבד ליתן אותה. התשובה מעלה לראשונה טענות מקדמיות עובדתיות, ובראשן טענת אי-המצאה, שהמבקש לא נדרש להן עד כה, ואשר בירורן מחייב הנחת מסמכי ההמצאה בפני בית המשפט הנכבד. התגובה תמציתית, ומצורפים לה מסמכי ההמצאה בלבד.</w:t>
      </w:r>
    </w:p>
    <w:p>
      <w:pPr>
        <w:bidi/>
        <w:spacing w:after="120" w:before="260" w:line="360" w:lineRule="auto"/>
        <w:jc w:val="start"/>
      </w:pPr>
      <w:r>
        <w:rPr>
          <w:rFonts w:ascii="David" w:cs="David" w:eastAsia="David" w:hAnsi="David"/>
          <w:b/>
          <w:bCs/>
          <w:sz w:val="24"/>
          <w:szCs w:val="24"/>
          <w:u w:val="single"/>
          <w:rtl/>
        </w:rPr>
        <w:t xml:space="preserve">ב. תמצית הטענות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תמצית טענות המבקש היא זו: התשובה הוגשה בשיהוי של כארבעה שבועות, ודווקא יומיים לאחר שנעצרה הגבייה מן המבקש; טענתה העובדתית המרכזית — היעדר המצאה — נסתרת בשלושה מסמכי המצאה נפרדים; היא סותרת את עצמה בשלושה מקומות; והיא מבקשת להפנות את המבקש למסלול דיוני אחר מזה שבית המשפט הנכבד עצמו הורה עליו ביום 22.7.26.</w:t>
      </w:r>
    </w:p>
    <w:p>
      <w:pPr>
        <w:bidi/>
        <w:spacing w:after="120" w:before="260" w:line="360" w:lineRule="auto"/>
        <w:jc w:val="start"/>
      </w:pPr>
      <w:r>
        <w:rPr>
          <w:rFonts w:ascii="David" w:cs="David" w:eastAsia="David" w:hAnsi="David"/>
          <w:b/>
          <w:bCs/>
          <w:sz w:val="24"/>
          <w:szCs w:val="24"/>
          <w:u w:val="single"/>
          <w:rtl/>
        </w:rPr>
        <w:t xml:space="preserve">ג. לוח המועדים הרלוונטי</w:t>
      </w:r>
    </w:p>
    <w:tbl>
      <w:tblPr>
        <w:bidiVisual/>
        <w:tblW w:type="dxa" w:w="8372"/>
        <w:tblInd w:type="dxa" w:w="350"/>
        <w:tblBorders>
          <w:top w:val="single" w:color="auto" w:sz="4"/>
          <w:left w:val="single" w:color="auto" w:sz="4"/>
          <w:bottom w:val="single" w:color="auto" w:sz="4"/>
          <w:right w:val="single" w:color="auto" w:sz="4"/>
          <w:insideH w:val="single" w:color="auto" w:sz="4"/>
          <w:insideV w:val="single" w:color="auto" w:sz="4"/>
        </w:tblBorders>
      </w:tblPr>
      <w:tblGrid>
        <w:gridCol w:w="1500"/>
        <w:gridCol w:w="6872"/>
      </w:tblGrid>
      <w:tr>
        <w:trPr>
          <w:tblHeader/>
        </w:trPr>
        <w:tc>
          <w:tcPr>
            <w:tcW w:type="dxa" w:w="1500"/>
            <w:tcBorders>
              <w:top w:val="single" w:color="808080" w:sz="1"/>
              <w:left w:val="single" w:color="808080" w:sz="1"/>
              <w:bottom w:val="single" w:color="808080" w:sz="1"/>
              <w:right w:val="single" w:color="808080" w:sz="1"/>
            </w:tcBorders>
            <w:shd w:fill="E8E8E8" w:val="clear"/>
            <w:tcMar>
              <w:top w:type="dxa" w:w="60"/>
              <w:left w:type="dxa" w:w="110"/>
              <w:bottom w:type="dxa" w:w="60"/>
              <w:right w:type="dxa" w:w="110"/>
            </w:tcMar>
          </w:tcPr>
          <w:p>
            <w:pPr>
              <w:bidi/>
              <w:spacing w:line="260" w:lineRule="auto"/>
              <w:jc w:val="center"/>
            </w:pPr>
            <w:r>
              <w:rPr>
                <w:rFonts w:ascii="David" w:cs="David" w:eastAsia="David" w:hAnsi="David"/>
                <w:b/>
                <w:bCs/>
                <w:sz w:val="22"/>
                <w:szCs w:val="22"/>
                <w:rtl/>
              </w:rPr>
              <w:t xml:space="preserve">מועד</w:t>
            </w:r>
          </w:p>
        </w:tc>
        <w:tc>
          <w:tcPr>
            <w:tcW w:type="dxa" w:w="6872"/>
            <w:tcBorders>
              <w:top w:val="single" w:color="808080" w:sz="1"/>
              <w:left w:val="single" w:color="808080" w:sz="1"/>
              <w:bottom w:val="single" w:color="808080" w:sz="1"/>
              <w:right w:val="single" w:color="808080" w:sz="1"/>
            </w:tcBorders>
            <w:shd w:fill="E8E8E8" w:val="clear"/>
            <w:tcMar>
              <w:top w:type="dxa" w:w="60"/>
              <w:left w:type="dxa" w:w="110"/>
              <w:bottom w:type="dxa" w:w="60"/>
              <w:right w:type="dxa" w:w="110"/>
            </w:tcMar>
          </w:tcPr>
          <w:p>
            <w:pPr>
              <w:bidi/>
              <w:spacing w:line="260" w:lineRule="auto"/>
              <w:jc w:val="start"/>
            </w:pPr>
            <w:r>
              <w:rPr>
                <w:rFonts w:ascii="David" w:cs="David" w:eastAsia="David" w:hAnsi="David"/>
                <w:b/>
                <w:bCs/>
                <w:sz w:val="22"/>
                <w:szCs w:val="22"/>
                <w:rtl/>
              </w:rPr>
              <w:t xml:space="preserve">האירוע</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12.5.26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בוטל פסק הדין שעליו נסמך תיק ההוצאה לפועל</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14.7.26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נדחתה בקשת המבקש בלשכת ההוצאה לפועל</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21.7.26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נדחתה בקשת המבקש בבית המשפט הנכבד</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22.7.26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החלטת בית המשפט הנכבד, המורה למבקש להגיש בקשה מתוקנת המכוונת אל המשיב</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23.7.26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הבקשה המתוקנת הומצאה למשיב בדואר אלקטרוני ובאמצעות אתר המשיב (נספחים א', ב')</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4.8.26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הבקשה המתוקנת נמסרה למשיב במסירה אישית על ידי הח"מ (נספח ג')</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9.8.26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המועד שבו, לטענת המשיב (סעיף 1 לתשובה), הועברה אליו ההחלטה</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18.8.26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החלטה מס' 11, שמכוחה נעצרו בפועל ההליכים נגד המבקש</w:t>
            </w:r>
          </w:p>
        </w:tc>
      </w:tr>
      <w:tr>
        <w:tc>
          <w:tcPr>
            <w:tcW w:type="dxa" w:w="1500"/>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center"/>
            </w:pPr>
            <w:r>
              <w:rPr>
                <w:rFonts w:ascii="David" w:cs="David" w:eastAsia="David" w:hAnsi="David"/>
                <w:b w:val="false"/>
                <w:bCs w:val="false"/>
                <w:sz w:val="22"/>
                <w:szCs w:val="22"/>
                <w:rtl/>
              </w:rPr>
              <w:t xml:space="preserve">20.8.26</w:t>
            </w:r>
          </w:p>
        </w:tc>
        <w:tc>
          <w:tcPr>
            <w:tcW w:type="dxa" w:w="6872"/>
            <w:tcBorders>
              <w:top w:val="single" w:color="808080" w:sz="1"/>
              <w:left w:val="single" w:color="808080" w:sz="1"/>
              <w:bottom w:val="single" w:color="808080" w:sz="1"/>
              <w:right w:val="single" w:color="808080" w:sz="1"/>
            </w:tcBorders>
            <w:tcMar>
              <w:top w:type="dxa" w:w="60"/>
              <w:left w:type="dxa" w:w="110"/>
              <w:bottom w:type="dxa" w:w="60"/>
              <w:right w:type="dxa" w:w="110"/>
            </w:tcMar>
          </w:tcPr>
          <w:p>
            <w:pPr>
              <w:bidi/>
              <w:spacing w:line="260" w:lineRule="auto"/>
              <w:jc w:val="start"/>
            </w:pPr>
            <w:r>
              <w:rPr>
                <w:rFonts w:ascii="David" w:cs="David" w:eastAsia="David" w:hAnsi="David"/>
                <w:b w:val="false"/>
                <w:bCs w:val="false"/>
                <w:sz w:val="22"/>
                <w:szCs w:val="22"/>
                <w:rtl/>
              </w:rPr>
              <w:t xml:space="preserve">הוגשה התשובה</w:t>
            </w:r>
          </w:p>
        </w:tc>
      </w:tr>
    </w:tbl>
    <w:p>
      <w:pPr>
        <w:spacing w:after="160"/>
      </w:pPr>
    </w:p>
    <w:p>
      <w:pPr>
        <w:bidi/>
        <w:spacing w:after="120" w:before="260" w:line="360" w:lineRule="auto"/>
        <w:jc w:val="start"/>
      </w:pPr>
      <w:r>
        <w:rPr>
          <w:rFonts w:ascii="David" w:cs="David" w:eastAsia="David" w:hAnsi="David"/>
          <w:b/>
          <w:bCs/>
          <w:sz w:val="24"/>
          <w:szCs w:val="24"/>
          <w:u w:val="single"/>
          <w:rtl/>
        </w:rPr>
        <w:t xml:space="preserve">ד. השיהוי בהגשת התשובה, ועיתויה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המשיב פותח את תשובתו בהודאה כי היא מוגשת באיחור (סעיף 1 לתשובה). המחלוקת אינה, אפוא, בשאלה אם חל שיהוי, אלא במשמעותו.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על פי החלטת בית המשפט הנכבד מיום 22.7.26, וכהבנת המשיב עצמו (סעיף 3 לתשובה), עמדו לרשותו חמישה ימים להשיב. ההמצאה בוצעה ביום 23.7.26. התשובה הוגשה ביום 20.8.26 — כארבעה שבועות לאחר מכן.</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לא היה זה שיהוי שקט. לאורך כל אותה תקופה הוסיפו ההליכים בתיק ההוצאה לפועל להתנהל נגד המבקש ללא הפרעה. המשיב לא הגיב לבקשה המקורית, לא לבקשה שהוגשה בלשכת ההוצאה לפועל, ולא לפניותיו החוזרות של הח"מ.</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השינוי היחיד שאירע בסמוך להגשת התשובה הוא החלטה מס' 11 מיום 18.8.26, שמכוחה נעצרו בפועל ההליכים נגד המבקש. התשובה הוגשה יומיים לאחר מכן. המבקש יטען כי לא בכדי נשברה שתיקה בת כארבעה שבועות דווקא יומיים לאחר שנפסקה הגבייה.</w:t>
      </w:r>
    </w:p>
    <w:p>
      <w:pPr>
        <w:bidi/>
        <w:spacing w:after="120" w:before="260" w:line="360" w:lineRule="auto"/>
        <w:jc w:val="start"/>
      </w:pPr>
      <w:r>
        <w:rPr>
          <w:rFonts w:ascii="David" w:cs="David" w:eastAsia="David" w:hAnsi="David"/>
          <w:b/>
          <w:bCs/>
          <w:sz w:val="24"/>
          <w:szCs w:val="24"/>
          <w:u w:val="single"/>
          <w:rtl/>
        </w:rPr>
        <w:t xml:space="preserve">ה. טענת אי-ההמצאה נסתרת במסמכי ההמצאה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בסעיפים 4–6 לתשובה טוען המשיב כי לא הומצאו לידיו שלושה מסמכים: הבקשה שהוגשה בלשכת ההוצאה לפועל ונדחתה ביום 14.7.26; הבקשה שהוגשה לבית המשפט הנכבד ונדחתה ביום 21.7.26; וההחלטה בעניין המזונות הזמניים.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שלושת המסמכים הללו אינם מושא ההכרעה בהליך דנן. המסמך היחיד העומד להכרעה הוא הבקשה המתוקנת, שהוגשה מכוח החלטת בית המשפט הנכבד מיום 22.7.26 ובהתאם לה.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את הבקשה המתוקנת קיבל המשיב לידיו בשלוש דרכים נפרדות ובלתי תלויות זו בזו: בדואר אלקטרוני ביום 23.7.26 (נספח א'); באמצעות אתר המשיב, באותו יום (נספח ב'); ובמסירה אישית על ידי הח"מ ביום 4.8.26 (נספח ג').</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ויודגש: </w:t>
      </w:r>
      <w:r>
        <w:rPr>
          <w:rFonts w:ascii="David" w:cs="David" w:eastAsia="David" w:hAnsi="David"/>
          <w:b/>
          <w:bCs/>
          <w:sz w:val="24"/>
          <w:szCs w:val="24"/>
          <w:rtl/>
        </w:rPr>
        <w:t xml:space="preserve">בשום מקום בתשובה אין המשיב טוען כי הבקשה המתוקנת לא הומצאה לו</w:t>
      </w:r>
      <w:r>
        <w:rPr>
          <w:rFonts w:ascii="David" w:cs="David" w:eastAsia="David" w:hAnsi="David"/>
          <w:b w:val="false"/>
          <w:bCs w:val="false"/>
          <w:sz w:val="24"/>
          <w:szCs w:val="24"/>
          <w:rtl/>
        </w:rPr>
        <w:t xml:space="preserve">. ההימנעות מטענה זו — דווקא במסמך שכל כולו נסב על טענות המצאה — אינה מקרית.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אשר לשתי ההחלטות שהמשיב טוען כי אין הוא מכיר את תוכנן: המשיב הוא הזוכה בתיק ההוצאה לפועל, והוא בעל דין בהליך שלפני בית המשפט הנכבד. החלטת כב' רשמת ההוצאה לפועל מיום 14.7.26 והחלטת בית המשפט הנכבד מיום 21.7.26 מצויות שתיהן בתיקים הפתוחים לעיונו. בעל דין אינו יכול לבסס טענת סף על כך שנמנע מלעיין בתיק המצוי בידיו.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אשר למסירה האישית מיום 4.8.26 — היא קודמת בחמישה ימים למועד שהמשיב עצמו נוקב בו כמועד שבו הועברה אליו ההחלטה (9.8.26, סעיף 1 לתשובה). חישוב "18 הימים" שבפתח התשובה נשען, אפוא, על הנחת מוצא שמסמכי ההמצאה שבנספחים א'–ג' סותרים.</w:t>
      </w:r>
    </w:p>
    <w:p>
      <w:pPr>
        <w:bidi/>
        <w:spacing w:after="120" w:before="260" w:line="360" w:lineRule="auto"/>
        <w:jc w:val="start"/>
      </w:pPr>
      <w:r>
        <w:rPr>
          <w:rFonts w:ascii="David" w:cs="David" w:eastAsia="David" w:hAnsi="David"/>
          <w:b/>
          <w:bCs/>
          <w:sz w:val="24"/>
          <w:szCs w:val="24"/>
          <w:u w:val="single"/>
          <w:rtl/>
        </w:rPr>
        <w:t xml:space="preserve">ו. התשובה סותרת את עצמה</w:t>
      </w:r>
    </w:p>
    <w:p>
      <w:pPr>
        <w:pStyle w:val="ListParagraph"/>
        <w:numPr>
          <w:ilvl w:val="0"/>
          <w:numId w:val="2"/>
        </w:numPr>
        <w:bidi/>
        <w:spacing w:after="140" w:line="360" w:lineRule="auto"/>
        <w:jc w:val="both"/>
      </w:pPr>
      <w:r>
        <w:rPr>
          <w:rFonts w:ascii="David" w:cs="David" w:eastAsia="David" w:hAnsi="David"/>
          <w:b/>
          <w:bCs/>
          <w:sz w:val="24"/>
          <w:szCs w:val="24"/>
          <w:rtl/>
        </w:rPr>
        <w:t xml:space="preserve">הסתירה הראשונה. </w:t>
      </w:r>
      <w:r>
        <w:rPr>
          <w:rFonts w:ascii="David" w:cs="David" w:eastAsia="David" w:hAnsi="David"/>
          <w:b w:val="false"/>
          <w:bCs w:val="false"/>
          <w:sz w:val="24"/>
          <w:szCs w:val="24"/>
          <w:rtl/>
        </w:rPr>
        <w:t xml:space="preserve">בסעיף 9 לתשובה נטען כי הבקשה שהוגשה לבית המשפט הנכבד היא בקשה "זהה" לזו שנדחתה בלשכת ההוצאה לפועל. אלא שבסעיפים 4 ו-5 טוען אותו משיב עצמו, פעמיים, כי "עד עתה לא ידוע למשיב מה נאמר בבקשה". לא ניתן לטעון לזהות בין שני מסמכים שהטוען מצהיר כי לא ראה אף לא אחד מהם. או שהמסמכים בידי המשיב — ואז קורסים סעיפים 4–6; או שאינם בידיו — ואז קורס סעיף 9. שתי הטענות אינן יכולות לדור בכפיפה אחת.</w:t>
      </w:r>
    </w:p>
    <w:p>
      <w:pPr>
        <w:pStyle w:val="ListParagraph"/>
        <w:numPr>
          <w:ilvl w:val="0"/>
          <w:numId w:val="2"/>
        </w:numPr>
        <w:bidi/>
        <w:spacing w:after="140" w:line="360" w:lineRule="auto"/>
        <w:jc w:val="both"/>
      </w:pPr>
      <w:r>
        <w:rPr>
          <w:rFonts w:ascii="David" w:cs="David" w:eastAsia="David" w:hAnsi="David"/>
          <w:b/>
          <w:bCs/>
          <w:sz w:val="24"/>
          <w:szCs w:val="24"/>
          <w:rtl/>
        </w:rPr>
        <w:t xml:space="preserve">הסתירה השנייה. </w:t>
      </w:r>
      <w:r>
        <w:rPr>
          <w:rFonts w:ascii="David" w:cs="David" w:eastAsia="David" w:hAnsi="David"/>
          <w:b w:val="false"/>
          <w:bCs w:val="false"/>
          <w:sz w:val="24"/>
          <w:szCs w:val="24"/>
          <w:rtl/>
        </w:rPr>
        <w:t xml:space="preserve">בסעיף 7 נטען כי "לא ניתן כלל להגיב לגופו של עניין". בסעיפים 8 ו-9, מיד לאחר מכן, מגיב המשיב לגופו של עניין: הוא טוען להעדר עילה, ולמסלול דיוני חלופי. בעל דין הטוען כי נבצר ממנו להגיב, ומיד לאחר מכן מגיב, מלמד בעצמו כי המניעה הנטענת אינה קיימת.</w:t>
      </w:r>
    </w:p>
    <w:p>
      <w:pPr>
        <w:pStyle w:val="ListParagraph"/>
        <w:numPr>
          <w:ilvl w:val="0"/>
          <w:numId w:val="2"/>
        </w:numPr>
        <w:bidi/>
        <w:spacing w:after="140" w:line="360" w:lineRule="auto"/>
        <w:jc w:val="both"/>
      </w:pPr>
      <w:r>
        <w:rPr>
          <w:rFonts w:ascii="David" w:cs="David" w:eastAsia="David" w:hAnsi="David"/>
          <w:b/>
          <w:bCs/>
          <w:sz w:val="24"/>
          <w:szCs w:val="24"/>
          <w:rtl/>
        </w:rPr>
        <w:t xml:space="preserve">הסתירה השלישית. </w:t>
      </w:r>
      <w:r>
        <w:rPr>
          <w:rFonts w:ascii="David" w:cs="David" w:eastAsia="David" w:hAnsi="David"/>
          <w:b w:val="false"/>
          <w:bCs w:val="false"/>
          <w:sz w:val="24"/>
          <w:szCs w:val="24"/>
          <w:rtl/>
        </w:rPr>
        <w:t xml:space="preserve">בסעיף 11 מבקש המשיב, לחלופין, כי יורו למבקש להעביר לעיונו את המסמכים הנזכרים בסעיפים 4–6, וכי יינתן לו זמן להשיב לאחר קבלתם. בכך מודה המשיב, מפורשות, כי הפגם הנטען ניתן לריפוי במסירת מסמכים. פגם שהטוען לו מציע בעצמו את דרך ריפויו אינו פגם המצדיק דחייה על הסף — הוא, לכל היותר, בקשת ארכה.</w:t>
      </w:r>
    </w:p>
    <w:p>
      <w:pPr>
        <w:bidi/>
        <w:spacing w:after="120" w:before="260" w:line="360" w:lineRule="auto"/>
        <w:jc w:val="start"/>
      </w:pPr>
      <w:r>
        <w:rPr>
          <w:rFonts w:ascii="David" w:cs="David" w:eastAsia="David" w:hAnsi="David"/>
          <w:b/>
          <w:bCs/>
          <w:sz w:val="24"/>
          <w:szCs w:val="24"/>
          <w:u w:val="single"/>
          <w:rtl/>
        </w:rPr>
        <w:t xml:space="preserve">ז. טענת הערעור — התעלמות מהחלטה שיפוטית קיימת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בסעיפים 9 ו-11 לתשובה נטען כי היה על המבקש להגיש ערעור על החלטת כב' רשמת ההוצאה לפועל, ולא לפנות לבית המשפט הנכבד.</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שאלת המסלול הדיוני כבר הוכרעה. ביום 22.7.26 הורה בית המשפט הנכבד למבקש להגיש בקשה מתוקנת המכוונת אל המשיב. הבקשה המתוקנת הוגשה מכוח אותה החלטה ובהתאם לה. בקשת המשיב להפנות כיום את המבקש למסלול דיוני אחר משמעה, למעשה, כי בית המשפט הנכבד יתבקש להתעלם מהחלטתו שלו.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גם לגופה, אין הבקשה תוקפת את שיקול דעתה של כב' הרשמת. יסודה בעובדה חדשה ונפרדת: ביום 12.5.26 בוטל פסק הדין שעליו נסמך תיק ההוצאה לפועל. משבוטל פסק הדין, ניטל מן התיק בסיסו המשפטי כולו. אין זו שאלה ערעורית על הנמקת הרשמת, אלא שאלה של קיום בסיס להליך.</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ולבסוף, לוח הזמנים. לפי חישובו של המשיב עצמו (סעיף 9 לתשובה), תקופת הערעור עמדה לפוג "מחרתיים" מיום הגשת התשובה. המשיב שתק לאורך כל אותה תקופה, והעלה את טענת הערעור לראשונה בשוליה — במועד שבו פעולה על פיה כבר אינה אפשרית הלכה למעשה. בעל דין אינו רשאי להחריש בעוד המועד רץ, ולהיבנות לאחר מכן מחלוף אותו מועד עצמו.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נמצא כי הסעד החלופי המבוקש בסעיף 11 לתשובה — להורות למבקש להגיש ערעור "במועד הקבוע בתקנות" — הוא סעד שהמשיב עצמו מלמד כי אינו בר-ביצוע. תוצאתו המעשית היחידה היא דחיית ההכרעה, בעוד תיק ההוצאה לפועל, שאיבד את בסיסו ביום 12.5.26, עומד על כנו.</w:t>
      </w:r>
    </w:p>
    <w:p>
      <w:pPr>
        <w:bidi/>
        <w:spacing w:after="120" w:before="260" w:line="360" w:lineRule="auto"/>
        <w:jc w:val="start"/>
      </w:pPr>
      <w:r>
        <w:rPr>
          <w:rFonts w:ascii="David" w:cs="David" w:eastAsia="David" w:hAnsi="David"/>
          <w:b/>
          <w:bCs/>
          <w:sz w:val="24"/>
          <w:szCs w:val="24"/>
          <w:u w:val="single"/>
          <w:rtl/>
        </w:rPr>
        <w:t xml:space="preserve">ח. המסגרת הנורמטיבית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תקנה 3(ב) לתקנות מטילה על בעל דין ובא כוחו חובה לנהוג בתום לב ובהגינות דיונית, ולסייע בהעמדת הפלוגתות האמיתיות שבמחלוקת, במיקודן ובבירורן. תשובה הסותרת את עצמה בשלושה מקומות, ומייצרת פלוגתות שאינן אמיתיות במקום למקד את המחלוקת, אינה עומדת בחובה זו.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תקנה 4 לתקנות אוסרת על בעל דין לעשות שימוש לרעה בהליכי משפט, "ובכלל זה פעולה בהליך שמטרתה או </w:t>
      </w:r>
      <w:r>
        <w:rPr>
          <w:rFonts w:ascii="David" w:cs="David" w:eastAsia="David" w:hAnsi="David"/>
          <w:b/>
          <w:bCs/>
          <w:sz w:val="24"/>
          <w:szCs w:val="24"/>
          <w:rtl/>
        </w:rPr>
        <w:t xml:space="preserve">תוצאתה</w:t>
      </w:r>
      <w:r>
        <w:rPr>
          <w:rFonts w:ascii="David" w:cs="David" w:eastAsia="David" w:hAnsi="David"/>
          <w:b w:val="false"/>
          <w:bCs w:val="false"/>
          <w:sz w:val="24"/>
          <w:szCs w:val="24"/>
          <w:rtl/>
        </w:rPr>
        <w:t xml:space="preserve"> לשבשו, להשהותו או להטריד בעל דין". תוצאתה של התשובה — ולשיטת המבקש, גם תכליתה, הנלמדת מעיתוי הגשתה — היא השהיית ההכרעה.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תקנה 42 לתקנות מסמיכה את בית המשפט למחוק כתב טענות, כולו או מקצתו, מטעם זה בלבד של שימוש לרעה בהליכי משפט. "כתב טענות" מוגדר בתקנה 6 לתקנות כ"מסמך שמגיש בעל דין המשמש לטיעון בהליך לפי תקנות אלה" — הגדרה החלה על התשובה. תקנה 151(ג) מסמיכה את בית המשפט לחייב בהוצאות בעל דין שעשה שימוש לרעה בהליכי משפט או שלא מילא אחר התקנות.</w:t>
      </w:r>
    </w:p>
    <w:p>
      <w:pPr>
        <w:bidi/>
        <w:spacing w:after="120" w:before="260" w:line="360" w:lineRule="auto"/>
        <w:jc w:val="start"/>
      </w:pPr>
      <w:r>
        <w:rPr>
          <w:rFonts w:ascii="David" w:cs="David" w:eastAsia="David" w:hAnsi="David"/>
          <w:b/>
          <w:bCs/>
          <w:sz w:val="24"/>
          <w:szCs w:val="24"/>
          <w:u w:val="single"/>
          <w:rtl/>
        </w:rPr>
        <w:t xml:space="preserve">ט. סיכום והסעדים המבוקשים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אין מדובר בפגם דיוני בודד הניתן לתיקון. מדובר בתשובה שהוגשה בשיהוי של כארבעה שבועות; שהוגשה יומיים לאחר שנעצרה הגבייה מן המבקש; שטענתה העובדתית המרכזית נסתרת בשלושה מסמכי המצאה נפרדים; שסותרת את עצמה בשלושה מקומות; ושמבקשת מבית המשפט הנכבד להתעלם מהחלטתו שלו מיום 22.7.26.</w:t>
      </w:r>
    </w:p>
    <w:p>
      <w:pPr>
        <w:pStyle w:val="ListParagraph"/>
        <w:numPr>
          <w:ilvl w:val="0"/>
          <w:numId w:val="2"/>
        </w:numPr>
        <w:bidi/>
        <w:spacing w:after="60" w:line="360" w:lineRule="auto"/>
        <w:jc w:val="both"/>
      </w:pPr>
      <w:r>
        <w:rPr>
          <w:rFonts w:ascii="David" w:cs="David" w:eastAsia="David" w:hAnsi="David"/>
          <w:b w:val="false"/>
          <w:bCs w:val="false"/>
          <w:sz w:val="24"/>
          <w:szCs w:val="24"/>
          <w:rtl/>
        </w:rPr>
        <w:t xml:space="preserve">אשר על כן, מתבקש בית המשפט הנכבד:</w:t>
      </w:r>
    </w:p>
    <w:p>
      <w:pPr>
        <w:bidi/>
        <w:spacing w:after="60" w:before="0" w:line="360" w:lineRule="auto"/>
        <w:ind w:right="900" w:hanging="380"/>
        <w:jc w:val="both"/>
      </w:pPr>
      <w:r>
        <w:rPr>
          <w:rFonts w:ascii="David" w:cs="David" w:eastAsia="David" w:hAnsi="David"/>
          <w:b w:val="false"/>
          <w:bCs w:val="false"/>
          <w:sz w:val="24"/>
          <w:szCs w:val="24"/>
          <w:rtl/>
        </w:rPr>
        <w:t xml:space="preserve">(א)  לדחות את הטענות המקדמיות שבתשובה;</w:t>
      </w:r>
    </w:p>
    <w:p>
      <w:pPr>
        <w:bidi/>
        <w:spacing w:after="60" w:before="0" w:line="360" w:lineRule="auto"/>
        <w:ind w:right="900" w:hanging="380"/>
        <w:jc w:val="both"/>
      </w:pPr>
      <w:r>
        <w:rPr>
          <w:rFonts w:ascii="David" w:cs="David" w:eastAsia="David" w:hAnsi="David"/>
          <w:b w:val="false"/>
          <w:bCs w:val="false"/>
          <w:sz w:val="24"/>
          <w:szCs w:val="24"/>
          <w:rtl/>
        </w:rPr>
        <w:t xml:space="preserve">(ב)  להורות על מחיקת התשובה, כולה או מקצתה, לפי תקנה 42 לתקנות;</w:t>
      </w:r>
    </w:p>
    <w:p>
      <w:pPr>
        <w:bidi/>
        <w:spacing w:after="60" w:before="0" w:line="360" w:lineRule="auto"/>
        <w:ind w:right="900" w:hanging="380"/>
        <w:jc w:val="both"/>
      </w:pPr>
      <w:r>
        <w:rPr>
          <w:rFonts w:ascii="David" w:cs="David" w:eastAsia="David" w:hAnsi="David"/>
          <w:b w:val="false"/>
          <w:bCs w:val="false"/>
          <w:sz w:val="24"/>
          <w:szCs w:val="24"/>
          <w:rtl/>
        </w:rPr>
        <w:t xml:space="preserve">(ג)  לחלופין, לדחות את הבקשה החלופית שבסעיף 11 לתשובה;</w:t>
      </w:r>
    </w:p>
    <w:p>
      <w:pPr>
        <w:bidi/>
        <w:spacing w:after="60" w:before="0" w:line="360" w:lineRule="auto"/>
        <w:ind w:right="900" w:hanging="380"/>
        <w:jc w:val="both"/>
      </w:pPr>
      <w:r>
        <w:rPr>
          <w:rFonts w:ascii="David" w:cs="David" w:eastAsia="David" w:hAnsi="David"/>
          <w:b w:val="false"/>
          <w:bCs w:val="false"/>
          <w:sz w:val="24"/>
          <w:szCs w:val="24"/>
          <w:rtl/>
        </w:rPr>
        <w:t xml:space="preserve">(ד)  להכריע בבקשה המתוקנת לגופה, כמבוקש בה;</w:t>
      </w:r>
    </w:p>
    <w:p>
      <w:pPr>
        <w:bidi/>
        <w:spacing w:after="60" w:before="0" w:line="360" w:lineRule="auto"/>
        <w:ind w:right="900" w:hanging="380"/>
        <w:jc w:val="both"/>
      </w:pPr>
      <w:r>
        <w:rPr>
          <w:rFonts w:ascii="David" w:cs="David" w:eastAsia="David" w:hAnsi="David"/>
          <w:b w:val="false"/>
          <w:bCs w:val="false"/>
          <w:sz w:val="24"/>
          <w:szCs w:val="24"/>
          <w:rtl/>
        </w:rPr>
        <w:t xml:space="preserve">(ה)  להורות כי עיכוב ההליכים לפי החלטה מס' 11 מיום 18.8.26 יעמוד בעינו עד להכרעה בבקשה המתוקנת;</w:t>
      </w:r>
    </w:p>
    <w:p>
      <w:pPr>
        <w:bidi/>
        <w:spacing w:after="60" w:before="0" w:line="360" w:lineRule="auto"/>
        <w:ind w:right="900" w:hanging="380"/>
        <w:jc w:val="both"/>
      </w:pPr>
      <w:r>
        <w:rPr>
          <w:rFonts w:ascii="David" w:cs="David" w:eastAsia="David" w:hAnsi="David"/>
          <w:b w:val="false"/>
          <w:bCs w:val="false"/>
          <w:sz w:val="24"/>
          <w:szCs w:val="24"/>
          <w:rtl/>
        </w:rPr>
        <w:t xml:space="preserve">(ו)  לחייב את המשיב בהוצאות המבקש בגין הצורך בהגשת תגובה זו, לפי תקנות 151(ג) ו-152 לתקנות.</w:t>
      </w:r>
    </w:p>
    <w:p>
      <w:pPr>
        <w:spacing w:after="80"/>
      </w:pP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אין באמור בתגובה זו כדי לגרוע מטענה מטענות המבקש, וכולן שמורות לו.</w:t>
      </w:r>
    </w:p>
    <w:p>
      <w:pPr>
        <w:bidi/>
        <w:spacing w:after="120" w:before="260" w:line="360" w:lineRule="auto"/>
        <w:jc w:val="start"/>
      </w:pPr>
      <w:r>
        <w:rPr>
          <w:rFonts w:ascii="David" w:cs="David" w:eastAsia="David" w:hAnsi="David"/>
          <w:b/>
          <w:bCs/>
          <w:sz w:val="24"/>
          <w:szCs w:val="24"/>
          <w:u w:val="single"/>
          <w:rtl/>
        </w:rPr>
        <w:t xml:space="preserve">נספחים</w:t>
      </w:r>
    </w:p>
    <w:p>
      <w:pPr>
        <w:bidi/>
        <w:spacing w:after="60" w:before="0" w:line="360" w:lineRule="auto"/>
        <w:ind w:right="380"/>
        <w:jc w:val="start"/>
      </w:pPr>
      <w:r>
        <w:rPr>
          <w:rFonts w:ascii="David" w:cs="David" w:eastAsia="David" w:hAnsi="David"/>
          <w:b/>
          <w:bCs/>
          <w:sz w:val="24"/>
          <w:szCs w:val="24"/>
          <w:rtl/>
        </w:rPr>
        <w:t xml:space="preserve">נספח א' — </w:t>
      </w:r>
      <w:r>
        <w:rPr>
          <w:rFonts w:ascii="David" w:cs="David" w:eastAsia="David" w:hAnsi="David"/>
          <w:b w:val="false"/>
          <w:bCs w:val="false"/>
          <w:sz w:val="24"/>
          <w:szCs w:val="24"/>
          <w:rtl/>
        </w:rPr>
        <w:t xml:space="preserve">הודעת דואר אלקטרוני מיום 23.7.26, ובה הבקשה המתוקנת</w:t>
      </w:r>
    </w:p>
    <w:p>
      <w:pPr>
        <w:bidi/>
        <w:spacing w:after="60" w:before="0" w:line="360" w:lineRule="auto"/>
        <w:ind w:right="380"/>
        <w:jc w:val="start"/>
      </w:pPr>
      <w:r>
        <w:rPr>
          <w:rFonts w:ascii="David" w:cs="David" w:eastAsia="David" w:hAnsi="David"/>
          <w:b/>
          <w:bCs/>
          <w:sz w:val="24"/>
          <w:szCs w:val="24"/>
          <w:rtl/>
        </w:rPr>
        <w:t xml:space="preserve">נספח ב' — </w:t>
      </w:r>
      <w:r>
        <w:rPr>
          <w:rFonts w:ascii="David" w:cs="David" w:eastAsia="David" w:hAnsi="David"/>
          <w:b w:val="false"/>
          <w:bCs w:val="false"/>
          <w:sz w:val="24"/>
          <w:szCs w:val="24"/>
          <w:rtl/>
        </w:rPr>
        <w:t xml:space="preserve">אישור הגשה באמצעות אתר המשיב מיום 23.7.26</w:t>
      </w:r>
    </w:p>
    <w:p>
      <w:pPr>
        <w:bidi/>
        <w:spacing w:after="60" w:before="0" w:line="360" w:lineRule="auto"/>
        <w:ind w:right="380"/>
        <w:jc w:val="start"/>
      </w:pPr>
      <w:r>
        <w:rPr>
          <w:rFonts w:ascii="David" w:cs="David" w:eastAsia="David" w:hAnsi="David"/>
          <w:b/>
          <w:bCs/>
          <w:sz w:val="24"/>
          <w:szCs w:val="24"/>
          <w:rtl/>
        </w:rPr>
        <w:t xml:space="preserve">נספח ג' — </w:t>
      </w:r>
      <w:r>
        <w:rPr>
          <w:rFonts w:ascii="David" w:cs="David" w:eastAsia="David" w:hAnsi="David"/>
          <w:b w:val="false"/>
          <w:bCs w:val="false"/>
          <w:sz w:val="24"/>
          <w:szCs w:val="24"/>
          <w:rtl/>
        </w:rPr>
        <w:t xml:space="preserve">אישור מסירה אישית מיום 4.8.26</w:t>
      </w:r>
    </w:p>
    <w:p>
      <w:pPr>
        <w:bidi/>
        <w:spacing w:before="500"/>
      </w:pPr>
    </w:p>
    <w:p>
      <w:pPr>
        <w:bidi/>
        <w:spacing w:after="0" w:line="360" w:lineRule="auto"/>
        <w:jc w:val="center"/>
      </w:pPr>
      <w:r>
        <w:rPr>
          <w:rFonts w:ascii="David" w:cs="David" w:eastAsia="David" w:hAnsi="David"/>
          <w:b w:val="false"/>
          <w:bCs w:val="false"/>
          <w:sz w:val="24"/>
          <w:szCs w:val="24"/>
          <w:rtl/>
        </w:rPr>
        <w:t xml:space="preserve">_______________________</w:t>
      </w:r>
    </w:p>
    <w:p>
      <w:pPr>
        <w:bidi/>
        <w:spacing w:after="0" w:line="260" w:lineRule="auto"/>
        <w:jc w:val="center"/>
      </w:pPr>
      <w:r>
        <w:rPr>
          <w:rFonts w:ascii="David" w:cs="David" w:eastAsia="David" w:hAnsi="David"/>
          <w:b/>
          <w:bCs/>
          <w:sz w:val="24"/>
          <w:szCs w:val="24"/>
          <w:rtl/>
        </w:rPr>
        <w:t xml:space="preserve">סולומון טקה, עו"ד</w:t>
      </w:r>
    </w:p>
    <w:p>
      <w:pPr>
        <w:bidi/>
        <w:spacing w:after="320" w:line="260" w:lineRule="auto"/>
        <w:jc w:val="center"/>
      </w:pPr>
      <w:r>
        <w:rPr>
          <w:rFonts w:ascii="David" w:cs="David" w:eastAsia="David" w:hAnsi="David"/>
          <w:b w:val="false"/>
          <w:bCs w:val="false"/>
          <w:sz w:val="24"/>
          <w:szCs w:val="24"/>
          <w:rtl/>
        </w:rPr>
        <w:t xml:space="preserve">ב"כ המבקש</w:t>
      </w:r>
    </w:p>
    <w:p>
      <w:pPr>
        <w:bidi/>
        <w:spacing w:line="260" w:lineRule="auto"/>
        <w:jc w:val="start"/>
      </w:pPr>
      <w:r>
        <w:rPr>
          <w:rFonts w:ascii="David" w:cs="David" w:eastAsia="David" w:hAnsi="David"/>
          <w:b w:val="false"/>
          <w:bCs w:val="false"/>
          <w:sz w:val="24"/>
          <w:szCs w:val="24"/>
          <w:rtl/>
        </w:rPr>
        <w:t xml:space="preserve">תאריך: 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80" w:hanging="4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2026-08-30T06:38:33.832Z</dcterms:created>
  <dcterms:modified xsi:type="dcterms:W3CDTF">2026-08-30T06:38:33.832Z</dcterms:modified>
</cp:coreProperties>
</file>

<file path=docProps/custom.xml><?xml version="1.0" encoding="utf-8"?>
<Properties xmlns="http://schemas.openxmlformats.org/officeDocument/2006/custom-properties" xmlns:vt="http://schemas.openxmlformats.org/officeDocument/2006/docPropsVTypes"/>
</file>