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c>
          <w:tcPr>
            <w:tcW w:type="dxa" w:w="4536"/>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before="0" w:line="360" w:lineRule="auto"/>
              <w:jc w:val="start"/>
            </w:pPr>
            <w:r>
              <w:rPr>
                <w:rFonts w:ascii="David" w:cs="David" w:eastAsia="David" w:hAnsi="David"/>
                <w:b/>
                <w:bCs/>
                <w:sz w:val="26"/>
                <w:szCs w:val="26"/>
                <w:rtl/>
              </w:rPr>
              <w:t xml:space="preserve">בבית המשפט לענייני משפחה בחיפה</w:t>
            </w:r>
          </w:p>
        </w:tc>
        <w:tc>
          <w:tcPr>
            <w:tcW w:type="dxa" w:w="4536"/>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before="0" w:line="360" w:lineRule="auto"/>
              <w:jc w:val="end"/>
            </w:pPr>
            <w:r>
              <w:rPr>
                <w:rFonts w:ascii="David" w:cs="David" w:eastAsia="David" w:hAnsi="David"/>
                <w:b/>
                <w:bCs/>
                <w:sz w:val="26"/>
                <w:szCs w:val="26"/>
                <w:rtl/>
              </w:rPr>
              <w:t xml:space="preserve">מספר תיק: ______________</w:t>
            </w:r>
          </w:p>
        </w:tc>
      </w:tr>
    </w:tbl>
    <w:p>
      <w:pPr>
        <w:bidi/>
        <w:spacing w:after="120" w:before="0" w:line="360" w:lineRule="auto"/>
        <w:jc w:val="both"/>
      </w:pPr>
    </w:p>
    <w:p>
      <w:pPr>
        <w:bidi/>
        <w:spacing w:after="0" w:before="0" w:line="360" w:lineRule="auto"/>
        <w:jc w:val="both"/>
      </w:pPr>
      <w:r>
        <w:rPr>
          <w:rFonts w:ascii="David" w:cs="David" w:eastAsia="David" w:hAnsi="David"/>
          <w:b/>
          <w:bCs/>
          <w:sz w:val="24"/>
          <w:szCs w:val="24"/>
          <w:rtl/>
        </w:rPr>
        <w:t xml:space="preserve">המבקשת:</w:t>
      </w:r>
      <w:r>
        <w:rPr>
          <w:rFonts w:ascii="David" w:cs="David" w:eastAsia="David" w:hAnsi="David"/>
          <w:b w:val="false"/>
          <w:bCs w:val="false"/>
          <w:sz w:val="24"/>
          <w:szCs w:val="24"/>
          <w:rtl/>
        </w:rPr>
        <w:t xml:space="preserve">		______________ (שם מלא), ת.ז. ______________</w:t>
      </w:r>
    </w:p>
    <w:p>
      <w:pPr>
        <w:bidi/>
        <w:spacing w:after="0" w:before="0" w:line="360" w:lineRule="auto"/>
        <w:jc w:val="both"/>
      </w:pPr>
      <w:r>
        <w:rPr>
          <w:rFonts w:ascii="David" w:cs="David" w:eastAsia="David" w:hAnsi="David"/>
          <w:b w:val="false"/>
          <w:bCs w:val="false"/>
          <w:sz w:val="24"/>
          <w:szCs w:val="24"/>
          <w:rtl/>
        </w:rPr>
        <w:t xml:space="preserve">			מרחוב ______________ (רחוב ומספר), ______________ (עיר)</w:t>
      </w:r>
    </w:p>
    <w:p>
      <w:pPr>
        <w:bidi/>
        <w:spacing w:after="0" w:before="0" w:line="360" w:lineRule="auto"/>
        <w:jc w:val="both"/>
      </w:pPr>
      <w:r>
        <w:rPr>
          <w:rFonts w:ascii="David" w:cs="David" w:eastAsia="David" w:hAnsi="David"/>
          <w:b w:val="false"/>
          <w:bCs w:val="false"/>
          <w:sz w:val="24"/>
          <w:szCs w:val="24"/>
          <w:rtl/>
        </w:rPr>
        <w:t xml:space="preserve">			ע"י ב"כ עו"ד ______________ (שם), מ.ר. ______________</w:t>
      </w:r>
    </w:p>
    <w:p>
      <w:pPr>
        <w:bidi/>
        <w:spacing w:after="0" w:before="0" w:line="360" w:lineRule="auto"/>
        <w:jc w:val="both"/>
      </w:pPr>
      <w:r>
        <w:rPr>
          <w:rFonts w:ascii="David" w:cs="David" w:eastAsia="David" w:hAnsi="David"/>
          <w:b w:val="false"/>
          <w:bCs w:val="false"/>
          <w:sz w:val="24"/>
          <w:szCs w:val="24"/>
          <w:rtl/>
        </w:rPr>
        <w:t xml:space="preserve">			מרחוב ______________ (כתובת המשרד); טל' ______________; דוא"ל ______________</w:t>
      </w:r>
    </w:p>
    <w:p>
      <w:pPr>
        <w:bidi/>
        <w:spacing w:after="60" w:before="60" w:line="360" w:lineRule="auto"/>
        <w:jc w:val="center"/>
      </w:pPr>
      <w:r>
        <w:rPr>
          <w:rFonts w:ascii="David" w:cs="David" w:eastAsia="David" w:hAnsi="David"/>
          <w:b/>
          <w:bCs/>
          <w:sz w:val="24"/>
          <w:szCs w:val="24"/>
          <w:rtl/>
        </w:rPr>
        <w:t xml:space="preserve">- נ ג ד -</w:t>
      </w:r>
    </w:p>
    <w:p>
      <w:pPr>
        <w:bidi/>
        <w:spacing w:after="0" w:before="0" w:line="360" w:lineRule="auto"/>
        <w:jc w:val="both"/>
      </w:pPr>
      <w:r>
        <w:rPr>
          <w:rFonts w:ascii="David" w:cs="David" w:eastAsia="David" w:hAnsi="David"/>
          <w:b/>
          <w:bCs/>
          <w:sz w:val="24"/>
          <w:szCs w:val="24"/>
          <w:rtl/>
        </w:rPr>
        <w:t xml:space="preserve">המשיב:</w:t>
      </w:r>
      <w:r>
        <w:rPr>
          <w:rFonts w:ascii="David" w:cs="David" w:eastAsia="David" w:hAnsi="David"/>
          <w:b w:val="false"/>
          <w:bCs w:val="false"/>
          <w:sz w:val="24"/>
          <w:szCs w:val="24"/>
          <w:rtl/>
        </w:rPr>
        <w:t xml:space="preserve">		______________ (שם מלא), ת.ז. ______________</w:t>
      </w:r>
    </w:p>
    <w:p>
      <w:pPr>
        <w:bidi/>
        <w:spacing w:after="0" w:before="0" w:line="360" w:lineRule="auto"/>
        <w:jc w:val="both"/>
      </w:pPr>
      <w:r>
        <w:rPr>
          <w:rFonts w:ascii="David" w:cs="David" w:eastAsia="David" w:hAnsi="David"/>
          <w:b w:val="false"/>
          <w:bCs w:val="false"/>
          <w:sz w:val="24"/>
          <w:szCs w:val="24"/>
          <w:rtl/>
        </w:rPr>
        <w:t xml:space="preserve">			מרחוב ______________ (רחוב ומספר), ______________ (עיר)</w:t>
      </w:r>
    </w:p>
    <w:p>
      <w:pPr>
        <w:bidi/>
        <w:spacing w:after="120" w:before="0" w:line="360" w:lineRule="auto"/>
        <w:jc w:val="both"/>
      </w:pPr>
    </w:p>
    <w:p>
      <w:pPr>
        <w:bidi/>
        <w:spacing w:after="160" w:before="160" w:line="360" w:lineRule="auto"/>
        <w:jc w:val="center"/>
      </w:pPr>
      <w:r>
        <w:rPr>
          <w:rFonts w:ascii="David" w:cs="David" w:eastAsia="David" w:hAnsi="David"/>
          <w:b/>
          <w:bCs/>
          <w:sz w:val="40"/>
          <w:szCs w:val="40"/>
          <w:u w:val="double"/>
          <w:rtl/>
        </w:rPr>
        <w:t xml:space="preserve">בקשה להארכת תוקפו של צו הגנה</w:t>
      </w:r>
    </w:p>
    <w:p>
      <w:pPr>
        <w:bidi/>
        <w:spacing w:after="220" w:before="0" w:line="360" w:lineRule="auto"/>
        <w:jc w:val="center"/>
      </w:pPr>
      <w:r>
        <w:rPr>
          <w:rFonts w:ascii="David" w:cs="David" w:eastAsia="David" w:hAnsi="David"/>
          <w:b/>
          <w:bCs/>
          <w:sz w:val="24"/>
          <w:szCs w:val="24"/>
          <w:rtl/>
        </w:rPr>
        <w:t xml:space="preserve">(לפי סעיף 5 לחוק למניעת אלימות במשפחה, התשנ"א–1991)</w:t>
      </w:r>
    </w:p>
    <w:p>
      <w:pPr>
        <w:bidi/>
        <w:spacing w:after="120" w:before="0" w:line="360" w:lineRule="auto"/>
        <w:jc w:val="both"/>
      </w:pPr>
      <w:r>
        <w:rPr>
          <w:rFonts w:ascii="David" w:cs="David" w:eastAsia="David" w:hAnsi="David"/>
          <w:b w:val="false"/>
          <w:bCs w:val="false"/>
          <w:sz w:val="24"/>
          <w:szCs w:val="24"/>
          <w:rtl/>
        </w:rPr>
        <w:t xml:space="preserve">בית המשפט הנכבד מתבקש בזאת להאריך בשלושה חודשים נוספים את תוקפו של צו ההגנה שניתן כנגד המשיב ביום 11.3.2026, ואשר תוקפו פוקע ביום 16.9.2026 — קרי, עד ליום 16.12.2026 — על כל תנאיו ומגבלותיו; וכן לקבוע את הבקשה לדיון דחוף בטרם יפקע הצו. ואלו נימוקי הבקשה:</w:t>
      </w:r>
    </w:p>
    <w:p>
      <w:pPr>
        <w:bidi/>
        <w:keepNext/>
        <w:spacing w:after="120" w:before="240" w:line="360" w:lineRule="auto"/>
        <w:jc w:val="start"/>
      </w:pPr>
      <w:r>
        <w:rPr>
          <w:rFonts w:ascii="David" w:cs="David" w:eastAsia="David" w:hAnsi="David"/>
          <w:b/>
          <w:bCs/>
          <w:sz w:val="24"/>
          <w:szCs w:val="24"/>
          <w:u w:val="single"/>
          <w:rtl/>
        </w:rPr>
        <w:t xml:space="preserve">א. מהות הבקשה</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עניינה של בקשה זו בהארכת תוקפו של צו הגנה שניתן כנגד המשיב ביום 11.3.2026, ואשר תוקפו פוקע ביום 16.9.2026. ודוק; הסכנה שבעטיה ניתן הצו לא הוסרה ואף לא פחתה, וחלוף הזמן כשלעצמו אין בו כדי לרפאה. פקיעת הצו במועדו תותיר את המבקשת ואת הקטינים חשופים לאותה סכנה עצמה שבגינה נדרשה מלכתחילה התערבותו של בית המשפט הנכבד.</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לצד זאת, ובאותה תקופה עצמה, נעדר המשיב שש פעמים מן המפגשים השבועיים עם הקטינים במרכז הקשר "פל"א", מפגשים שאת קיומם נטל על עצמו. הודעותיו על היעדרות אינן נמסרות ימים מראש, כמתחייב, כי אם שעות ספורות בטרם המפגש, ובלא כל נימוק. התנהלות זו מלמדת על יחסו של המשיב אל החובות שנטל על עצמו בפני בית המשפט הנכבד, ואף היא טעונה התייחסות במסגרת הבקשה דנא.</w:t>
      </w:r>
    </w:p>
    <w:p>
      <w:pPr>
        <w:bidi/>
        <w:keepNext/>
        <w:spacing w:after="120" w:before="240" w:line="360" w:lineRule="auto"/>
        <w:jc w:val="start"/>
      </w:pPr>
      <w:r>
        <w:rPr>
          <w:rFonts w:ascii="David" w:cs="David" w:eastAsia="David" w:hAnsi="David"/>
          <w:b/>
          <w:bCs/>
          <w:sz w:val="24"/>
          <w:szCs w:val="24"/>
          <w:u w:val="single"/>
          <w:rtl/>
        </w:rPr>
        <w:t xml:space="preserve">ב. הצדדים</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המבקשת והמשיב היו בני זוג, ולהם ______ ילדים קטינים משותפים: ______________ (שם), יליד/ת ______; ______________ (שם), יליד/ת ______ (להלן יחד: "הקטינים"). הקטינים מצויים במשמורתה של המבקשת, מתגוררים עמה ובאחריותה היום-יומית.</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המשיב נמנה עם "בני משפחתה" של המבקשת כהגדרת המונח בסעיף 1 לחוק למניעת אלימות במשפחה, התשנ"א–1991 (להלן: "החוק"), הן כמי שהיה בן זוגה והן כאביהם של הקטינים. המבקשת מתגוררת בתחום שיפוטו של בית משפט נכבד זה.</w:t>
      </w:r>
    </w:p>
    <w:p>
      <w:pPr>
        <w:bidi/>
        <w:keepNext/>
        <w:spacing w:after="120" w:before="240" w:line="360" w:lineRule="auto"/>
        <w:jc w:val="start"/>
      </w:pPr>
      <w:r>
        <w:rPr>
          <w:rFonts w:ascii="David" w:cs="David" w:eastAsia="David" w:hAnsi="David"/>
          <w:b/>
          <w:bCs/>
          <w:sz w:val="24"/>
          <w:szCs w:val="24"/>
          <w:u w:val="single"/>
          <w:rtl/>
        </w:rPr>
        <w:t xml:space="preserve">ג. צו ההגנה דנא</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ביום 11.3.2026 נעתר בית המשפט הנכבד לבקשת המבקשת והורה על מתן צו הגנה כנגד המשיב (להלן: "צו ההגנה" או "הצו"). מצ"ב העתק הצו, ומסומן כנספח א'.</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במסגרת הצו נאסר על המשיב ______________ (יש להשלים את תנאי הצו — הרחקה מדירת המגורים, איסור התקרבות, איסור הטרדה, איסור יצירת קשר במישרין או בעקיפין, הפקדת נשק וכיוצא באלה).</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הצו ניתן על יסוד ______________ (יש להשלים בתמצית — אירועי האלימות שקדמו לו, תלונות שהוגשו במשטרה, דו"ח לשכת הרווחה, החלטת בית המשפט), ותוקפו נקבע עד ליום 16.9.2026.</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ודוק; מיום מתן הצו ועד היום לא חל כל שינוי בנסיבות שבעטיין ניתן. המשיב לא נטל חלק בהליך טיפולי כלשהו, לא הציג כל ראיה לשינוי בהתנהלותו, ולא הובא לידיעת המבקשת ולו טעם אחד שיש בו כדי ללמד כי הסכנה חלפה.</w:t>
      </w:r>
    </w:p>
    <w:p>
      <w:pPr>
        <w:bidi/>
        <w:keepNext/>
        <w:spacing w:after="120" w:before="240" w:line="360" w:lineRule="auto"/>
        <w:jc w:val="start"/>
      </w:pPr>
      <w:r>
        <w:rPr>
          <w:rFonts w:ascii="David" w:cs="David" w:eastAsia="David" w:hAnsi="David"/>
          <w:b/>
          <w:bCs/>
          <w:sz w:val="24"/>
          <w:szCs w:val="24"/>
          <w:u w:val="single"/>
          <w:rtl/>
        </w:rPr>
        <w:t xml:space="preserve">ד. הסכנה הנשקפת מן המשיב לא חלפה</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השקט היחסי ששרר בתקופת תוקפו של הצו אינו מלמד כי הסכנה חלפה, כי אם על יעילותו של הצו עצמו. אין זאת אלא כי המסגרת שהציב בית המשפט הנכבד היא שריסנה את המשיב ומנעה הסלמה; ומשיפקע הצו, יוסר עמו אף הריסון.</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יתרה מכך, ______________ (יש להשלים אירועים מן התקופה האחרונה — הפרות הצו, הודעות מאיימות, התייצבות בסמוך לבית או למקום העבודה, פניות באמצעות צדדים שלישיים, תלונות שהוגשו במשטרה). האסמכתאות לכך מצ"ב ומסומנות כנספח ב'.</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המבקשת חיה בחשש מתמיד, המתעצם ככל שקרב מועד פקיעתו של הצו. ודוק; אין המדובר בחשש סובייקטיבי גרידא, כי אם בחשש הנסמך על התנהלותו של המשיב בעבר ובהווה, ועל היעדר כל אינדיקציה לשינוי.</w:t>
      </w:r>
    </w:p>
    <w:p>
      <w:pPr>
        <w:bidi/>
        <w:keepNext/>
        <w:spacing w:after="120" w:before="240" w:line="360" w:lineRule="auto"/>
        <w:jc w:val="start"/>
      </w:pPr>
      <w:r>
        <w:rPr>
          <w:rFonts w:ascii="David" w:cs="David" w:eastAsia="David" w:hAnsi="David"/>
          <w:b/>
          <w:bCs/>
          <w:sz w:val="24"/>
          <w:szCs w:val="24"/>
          <w:u w:val="single"/>
          <w:rtl/>
        </w:rPr>
        <w:t xml:space="preserve">ה. היעדרויות המשיב ממפגשי מרכז הקשר</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במסגרת ההסדרים שנקבעו בין הצדדים נקבעו זמני שהות בין המשיב לבין הקטינים במרכז הקשר "פל"א" (להלן: "מרכז הקשר"), במתכונת של מפגש שבועי מלווה ומפוקח. המשיב נטל על עצמו לקיים את המפגשים כסדרם.</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ודוק; מאז ______________ (מועד תחילת המפגשים) ועד היום נעדר המשיב משישה מפגשים שבועיים: בימים ______, ______, ______, ______, ______ ו-______.</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הודעות המשיב על היעדרותו אינן נמסרות ימים מראש, כמתחייב ממסגרת מלווה הנקבעת מבעוד מועד והמצריכה היערכות של מרכז הקשר, של הקטינים ושל המבקשת, כי אם שעות ספורות בלבד בטרם המפגש, ובלא שמפורט טעם כלשהו להיעדרות.</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אין המדובר בעניין טכני. הקטינים מוכנים למפגש ומצפים לו, ולעיתים אף מובאים אליו בפועל; ביטול ברגע האחרון מותיר אותם מאוכזבים ופגועים, ואת המבקשת מותיר להתמודד לבדה עם התוצאה. מצ"ב אישור מרכז הקשר בדבר המפגשים שהתקיימו ואלה שבוטלו, ומסומן כנספח ג', וכן העתקי הודעות המשיב, ומסומנים כנספח ד'.</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הנה כי כן, מי שאינו מקיים את המועט שנטל על עצמו — מפגש שבועי אחד, במסגרת מלווה, מוגנת ומפוקחת — אינו יכול להישמע בטענה כי חל שינוי בהתנהלותו, וממילא לא בטענה כי הסכנה שנשקפה ממנו חלפה.</w:t>
      </w:r>
    </w:p>
    <w:p>
      <w:pPr>
        <w:bidi/>
        <w:keepNext/>
        <w:spacing w:after="120" w:before="240" w:line="360" w:lineRule="auto"/>
        <w:jc w:val="start"/>
      </w:pPr>
      <w:r>
        <w:rPr>
          <w:rFonts w:ascii="David" w:cs="David" w:eastAsia="David" w:hAnsi="David"/>
          <w:b/>
          <w:bCs/>
          <w:sz w:val="24"/>
          <w:szCs w:val="24"/>
          <w:u w:val="single"/>
          <w:rtl/>
        </w:rPr>
        <w:t xml:space="preserve">ו. המסגרת הנורמטיבית</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סעיף 3 לחוק מסמיך את בית המשפט ליתן צו הגנה מקום שבו נהג אדם באלימות בבן משפחתו; או שהתנהגותו נותנת בסיס סביר להניח כי הוא מהווה סכנה גופנית ממשית לבן משפחתו; או שהתעלל בו התעללות נפשית מתמשכת, או נהג באופן שאינו מאפשר לו ניהול סביר ותקין של חייו. תכליתו של הצו מניעתית וצופה פני עתיד, ועילותיו נבחנות למועד ההכרעה, ולא למועד האירוע שקדם לה.</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סעיף 5 לחוק קובע את משך תוקפו של הצו ואת סמכות ההארכה: צו הגנה לא יעמוד בתוקפו תקופה העולה על שלושה חודשים; בית המשפט רשאי להאריך את תוקפו מפעם לפעם, ובלבד שהתקופה הכוללת לא תעלה על שישה חודשים; ומנימוקים מיוחדים שיפורטו בהחלטה רשאי בית המשפט להאריך את תוקפו לתקופה כוללת שלא תעלה על שנה אחת.</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בענייננו, התקופה הכוללת המבוקשת — מיום 11.3.2026 ועד ליום 16.12.2026 — מצויה בגדרי התקופה המרבית שהתיר המחוקק, ומחייבת פירוט נימוקים מיוחדים. ואלה בנמצא: הסכנה הנשקפת מן המשיב לא הוסרה ולא חל שינוי בנסיבות; בבית מצויים קטינים; המשיב לא נקט בהליך טיפולי כלשהו; והתנהלותו ביחס למפגשים המלווים מלמדת על היעדר יציבות ועל זלזול במסגרות שנקבעו.</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בגדר שיקוליו של בית המשפט הנכבד עומדת אף טובתם של הקטינים כשיקול-על, בהתאם לחוק הכשרות המשפטית והאפוטרופסות, התשכ"ב–1962. קטינים החשופים לאלימות בין הוריהם — אף כאשר אינה מופנית אליהם במישרין — נפגעים ממנה, ומוגנותו של ההורה המשמורן היא תנאי למוגנותם שלהם.</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הסמכות העניינית לדון בבקשה נתונה לבית משפט נכבד זה מכוח החוק ומכוח חוק בית המשפט לענייני משפחה, התשנ"ה–1995, והסמכות המקומית — מכוח מקום מגוריה של המבקשת בתחום שיפוטו.</w:t>
      </w:r>
    </w:p>
    <w:p>
      <w:pPr>
        <w:bidi/>
        <w:keepNext/>
        <w:spacing w:after="120" w:before="240" w:line="360" w:lineRule="auto"/>
        <w:jc w:val="start"/>
      </w:pPr>
      <w:r>
        <w:rPr>
          <w:rFonts w:ascii="David" w:cs="David" w:eastAsia="David" w:hAnsi="David"/>
          <w:b/>
          <w:bCs/>
          <w:sz w:val="24"/>
          <w:szCs w:val="24"/>
          <w:u w:val="single"/>
          <w:rtl/>
        </w:rPr>
        <w:t xml:space="preserve">ז. מן הכלל אל הפרט</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הלכה למעשה, השאלה הנדרשת להכרעה אינה מה אירע קדמת דנא, כי אם האם הסכנה שבעטיה ניתן הצו עודנה קיימת כיום. התשובה לכך היא בחיוב, ומטעמים שפורטו לעיל.</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גם אם יטען המשיב כי בתקופת תוקפו של הצו לא אירע דבר, הרי שדווקא בכך יש כדי ללמד על נחיצותו של הצו ועל יעילותו, ולא על התייתרותו. קבלת טענה כאמור משמעה כי דווקא הצלחתו של הצו תשמש עילה לביטולו, וזו תוצאה שאין הדעת סובלתה.</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מנגד, הנזק שייגרם למבקשת ולקטינים מפקיעת הצו הוא בלתי הפיך, בעוד שהנזק שייגרם למשיב מהארכתו בשלושה חודשים נוספים מוגבל בהיקפו: הצו אינו שולל מן המשיב את קשרו עם הקטינים, המוסיף להתקיים במרכז הקשר, כי אם מסדיר את גבולות ההתנהלות מול המבקשת בלבד. מאזן הנוחות נוטה אפוא בבירור לטובת הארכת הצו.</w:t>
      </w:r>
    </w:p>
    <w:p>
      <w:pPr>
        <w:bidi/>
        <w:keepNext/>
        <w:spacing w:after="120" w:before="240" w:line="360" w:lineRule="auto"/>
        <w:jc w:val="start"/>
      </w:pPr>
      <w:r>
        <w:rPr>
          <w:rFonts w:ascii="David" w:cs="David" w:eastAsia="David" w:hAnsi="David"/>
          <w:b/>
          <w:bCs/>
          <w:sz w:val="24"/>
          <w:szCs w:val="24"/>
          <w:u w:val="single"/>
          <w:rtl/>
        </w:rPr>
        <w:t xml:space="preserve">ח. סיכום</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צו ההגנה שניתן ביום 11.3.2026 עומד לפקוע ביום 16.9.2026.</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הסכנה שבעטיה ניתן הצו לא הוסרה, לא חל שינוי בנסיבות, והמשיב לא הציג כל אינדיקציה לשינוי.</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המשיב נעדר משישה מפגשים שבועיים במרכז הקשר, ומודיע על היעדרותו שעות ספורות מראש ובלא נימוק.</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בבית מצויים קטינים, וטובתם מחייבת את המשך ההגנה.</w:t>
      </w:r>
    </w:p>
    <w:p>
      <w:pPr>
        <w:bidi/>
        <w:keepNext/>
        <w:spacing w:after="120" w:before="240" w:line="360" w:lineRule="auto"/>
        <w:jc w:val="start"/>
      </w:pPr>
      <w:r>
        <w:rPr>
          <w:rFonts w:ascii="David" w:cs="David" w:eastAsia="David" w:hAnsi="David"/>
          <w:b/>
          <w:bCs/>
          <w:sz w:val="24"/>
          <w:szCs w:val="24"/>
          <w:u w:val="single"/>
          <w:rtl/>
        </w:rPr>
        <w:t xml:space="preserve">ט. הסעדים המבוקשים</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אשר על כל המקובץ לעיל, מתבקש בית המשפט הנכבד:</w:t>
      </w:r>
    </w:p>
    <w:p>
      <w:pPr>
        <w:bidi/>
        <w:spacing w:after="120" w:before="0" w:line="360" w:lineRule="auto"/>
        <w:ind w:left="900" w:hanging="340"/>
        <w:jc w:val="both"/>
      </w:pPr>
      <w:r>
        <w:rPr>
          <w:rFonts w:ascii="David" w:cs="David" w:eastAsia="David" w:hAnsi="David"/>
          <w:b w:val="false"/>
          <w:bCs w:val="false"/>
          <w:sz w:val="24"/>
          <w:szCs w:val="24"/>
          <w:rtl/>
        </w:rPr>
        <w:t xml:space="preserve">א.	להאריך את תוקפו של צו ההגנה מיום 11.3.2026 בשלושה חודשים נוספים, עד ליום 16.12.2026, על כל תנאיו ומגבלותיו.</w:t>
      </w:r>
    </w:p>
    <w:p>
      <w:pPr>
        <w:bidi/>
        <w:spacing w:after="120" w:before="0" w:line="360" w:lineRule="auto"/>
        <w:ind w:left="900" w:hanging="340"/>
        <w:jc w:val="both"/>
      </w:pPr>
      <w:r>
        <w:rPr>
          <w:rFonts w:ascii="David" w:cs="David" w:eastAsia="David" w:hAnsi="David"/>
          <w:b w:val="false"/>
          <w:bCs w:val="false"/>
          <w:sz w:val="24"/>
          <w:szCs w:val="24"/>
          <w:rtl/>
        </w:rPr>
        <w:t xml:space="preserve">ב.	לקבוע את הבקשה לדיון דחוף, בטרם יפקע הצו ביום 16.9.2026.</w:t>
      </w:r>
    </w:p>
    <w:p>
      <w:pPr>
        <w:bidi/>
        <w:spacing w:after="120" w:before="0" w:line="360" w:lineRule="auto"/>
        <w:ind w:left="900" w:hanging="340"/>
        <w:jc w:val="both"/>
      </w:pPr>
      <w:r>
        <w:rPr>
          <w:rFonts w:ascii="David" w:cs="David" w:eastAsia="David" w:hAnsi="David"/>
          <w:b w:val="false"/>
          <w:bCs w:val="false"/>
          <w:sz w:val="24"/>
          <w:szCs w:val="24"/>
          <w:rtl/>
        </w:rPr>
        <w:t xml:space="preserve">ג.	להורות למרכז הקשר "פל"א" להגיש דיווח מרוכז בדבר המפגשים שהתקיימו, המפגשים שבוטלו ביוזמת המשיב, ומועדי הודעות הביטול.</w:t>
      </w:r>
    </w:p>
    <w:p>
      <w:pPr>
        <w:bidi/>
        <w:spacing w:after="120" w:before="0" w:line="360" w:lineRule="auto"/>
        <w:ind w:left="900" w:hanging="340"/>
        <w:jc w:val="both"/>
      </w:pPr>
      <w:r>
        <w:rPr>
          <w:rFonts w:ascii="David" w:cs="David" w:eastAsia="David" w:hAnsi="David"/>
          <w:b w:val="false"/>
          <w:bCs w:val="false"/>
          <w:sz w:val="24"/>
          <w:szCs w:val="24"/>
          <w:rtl/>
        </w:rPr>
        <w:t xml:space="preserve">ד.	להורות למשיב לקיים את המפגשים כסדרם ולהודיע על היעדרות בהתראה מוקדמת של 48 שעות לפחות ובצירוף נימוק, ולקבוע כי היעדרות נוספת שלא כדין תובא בחשבון בקביעת זמני השהות.</w:t>
      </w:r>
    </w:p>
    <w:p>
      <w:pPr>
        <w:bidi/>
        <w:spacing w:after="120" w:before="0" w:line="360" w:lineRule="auto"/>
        <w:ind w:left="900" w:hanging="340"/>
        <w:jc w:val="both"/>
      </w:pPr>
      <w:r>
        <w:rPr>
          <w:rFonts w:ascii="David" w:cs="David" w:eastAsia="David" w:hAnsi="David"/>
          <w:b w:val="false"/>
          <w:bCs w:val="false"/>
          <w:sz w:val="24"/>
          <w:szCs w:val="24"/>
          <w:rtl/>
        </w:rPr>
        <w:t xml:space="preserve">ה.	לחייב את המשיב בהוצאות הבקשה.</w:t>
      </w:r>
    </w:p>
    <w:p>
      <w:pPr>
        <w:bidi/>
        <w:spacing w:after="120" w:before="0" w:line="360" w:lineRule="auto"/>
        <w:ind w:left="900" w:hanging="340"/>
        <w:jc w:val="both"/>
      </w:pPr>
      <w:r>
        <w:rPr>
          <w:rFonts w:ascii="David" w:cs="David" w:eastAsia="David" w:hAnsi="David"/>
          <w:b w:val="false"/>
          <w:bCs w:val="false"/>
          <w:sz w:val="24"/>
          <w:szCs w:val="24"/>
          <w:rtl/>
        </w:rPr>
        <w:t xml:space="preserve">ו.	ליתן כל סעד אחר ונוסף שימצא בית המשפט הנכבד לנכון וצודק בנסיבות העניין.</w:t>
      </w:r>
    </w:p>
    <w:p>
      <w:pPr>
        <w:bidi/>
        <w:spacing w:after="120" w:before="180" w:line="360" w:lineRule="auto"/>
        <w:jc w:val="both"/>
      </w:pPr>
      <w:r>
        <w:rPr>
          <w:rFonts w:ascii="David" w:cs="David" w:eastAsia="David" w:hAnsi="David"/>
          <w:b w:val="false"/>
          <w:bCs w:val="false"/>
          <w:sz w:val="24"/>
          <w:szCs w:val="24"/>
          <w:rtl/>
        </w:rPr>
        <w:t xml:space="preserve">בקשה זו נתמכת בתצהירה של המבקשת, המצורף לה כדין.</w:t>
      </w:r>
    </w:p>
    <w:p>
      <w:pPr>
        <w:bidi/>
        <w:spacing w:after="200" w:before="120" w:line="360" w:lineRule="auto"/>
        <w:jc w:val="both"/>
      </w:pPr>
      <w:r>
        <w:rPr>
          <w:rFonts w:ascii="David" w:cs="David" w:eastAsia="David" w:hAnsi="David"/>
          <w:b w:val="false"/>
          <w:bCs w:val="false"/>
          <w:sz w:val="24"/>
          <w:szCs w:val="24"/>
          <w:rtl/>
        </w:rPr>
        <w:t xml:space="preserve">מן הדין ומן הצדק להיעתר לבקשה זו.</w:t>
      </w:r>
    </w:p>
    <w:p>
      <w:pPr>
        <w:bidi/>
        <w:spacing w:after="200" w:before="0" w:line="360" w:lineRule="auto"/>
        <w:jc w:val="start"/>
      </w:pPr>
      <w:r>
        <w:rPr>
          <w:rFonts w:ascii="David" w:cs="David" w:eastAsia="David" w:hAnsi="David"/>
          <w:b w:val="false"/>
          <w:bCs w:val="false"/>
          <w:sz w:val="24"/>
          <w:szCs w:val="24"/>
          <w:rtl/>
        </w:rPr>
        <w:t xml:space="preserve">תאריך: ______________</w:t>
      </w:r>
    </w:p>
    <w:p>
      <w:pPr>
        <w:bidi/>
        <w:spacing w:after="0" w:before="160" w:line="360" w:lineRule="auto"/>
        <w:jc w:val="center"/>
      </w:pPr>
      <w:r>
        <w:rPr>
          <w:rFonts w:ascii="David" w:cs="David" w:eastAsia="David" w:hAnsi="David"/>
          <w:b w:val="false"/>
          <w:bCs w:val="false"/>
          <w:sz w:val="24"/>
          <w:szCs w:val="24"/>
          <w:rtl/>
        </w:rPr>
        <w:t xml:space="preserve">_______________________</w:t>
      </w:r>
    </w:p>
    <w:p>
      <w:pPr>
        <w:bidi/>
        <w:spacing w:after="0" w:before="0" w:line="360" w:lineRule="auto"/>
        <w:jc w:val="center"/>
      </w:pPr>
      <w:r>
        <w:rPr>
          <w:rFonts w:ascii="David" w:cs="David" w:eastAsia="David" w:hAnsi="David"/>
          <w:b w:val="false"/>
          <w:bCs w:val="false"/>
          <w:sz w:val="24"/>
          <w:szCs w:val="24"/>
          <w:rtl/>
        </w:rPr>
        <w:t xml:space="preserve">______________, עו"ד</w:t>
      </w:r>
    </w:p>
    <w:p>
      <w:pPr>
        <w:bidi/>
        <w:spacing w:after="0" w:before="0" w:line="360" w:lineRule="auto"/>
        <w:jc w:val="center"/>
      </w:pPr>
      <w:r>
        <w:rPr>
          <w:rFonts w:ascii="David" w:cs="David" w:eastAsia="David" w:hAnsi="David"/>
          <w:b w:val="false"/>
          <w:bCs w:val="false"/>
          <w:sz w:val="24"/>
          <w:szCs w:val="24"/>
          <w:rtl/>
        </w:rPr>
        <w:t xml:space="preserve">ב"כ המבקשת</w:t>
      </w:r>
    </w:p>
    <w:p>
      <w:pPr>
        <w:bidi/>
        <w:keepNext/>
        <w:spacing w:after="120" w:before="240" w:line="360" w:lineRule="auto"/>
        <w:jc w:val="start"/>
      </w:pPr>
      <w:r>
        <w:rPr>
          <w:rFonts w:ascii="David" w:cs="David" w:eastAsia="David" w:hAnsi="David"/>
          <w:b/>
          <w:bCs/>
          <w:sz w:val="24"/>
          <w:szCs w:val="24"/>
          <w:u w:val="single"/>
          <w:rtl/>
        </w:rPr>
        <w:t xml:space="preserve">רשימת נספחים</w:t>
      </w:r>
    </w:p>
    <w:p>
      <w:pPr>
        <w:bidi/>
        <w:spacing w:after="0" w:before="0" w:line="360" w:lineRule="auto"/>
        <w:jc w:val="both"/>
      </w:pPr>
      <w:r>
        <w:rPr>
          <w:rFonts w:ascii="David" w:cs="David" w:eastAsia="David" w:hAnsi="David"/>
          <w:b w:val="false"/>
          <w:bCs w:val="false"/>
          <w:sz w:val="24"/>
          <w:szCs w:val="24"/>
          <w:rtl/>
        </w:rPr>
        <w:t xml:space="preserve">נספח א' — צו ההגנה מיום 11.3.2026.</w:t>
      </w:r>
    </w:p>
    <w:p>
      <w:pPr>
        <w:bidi/>
        <w:spacing w:after="0" w:before="0" w:line="360" w:lineRule="auto"/>
        <w:jc w:val="both"/>
      </w:pPr>
      <w:r>
        <w:rPr>
          <w:rFonts w:ascii="David" w:cs="David" w:eastAsia="David" w:hAnsi="David"/>
          <w:b w:val="false"/>
          <w:bCs w:val="false"/>
          <w:sz w:val="24"/>
          <w:szCs w:val="24"/>
          <w:rtl/>
        </w:rPr>
        <w:t xml:space="preserve">נספח ב' — אסמכתאות בדבר התנהלות המשיב מאז מתן הצו.</w:t>
      </w:r>
    </w:p>
    <w:p>
      <w:pPr>
        <w:bidi/>
        <w:spacing w:after="0" w:before="0" w:line="360" w:lineRule="auto"/>
        <w:jc w:val="both"/>
      </w:pPr>
      <w:r>
        <w:rPr>
          <w:rFonts w:ascii="David" w:cs="David" w:eastAsia="David" w:hAnsi="David"/>
          <w:b w:val="false"/>
          <w:bCs w:val="false"/>
          <w:sz w:val="24"/>
          <w:szCs w:val="24"/>
          <w:rtl/>
        </w:rPr>
        <w:t xml:space="preserve">נספח ג' — אישור מרכז הקשר "פל"א" בדבר המפגשים שהתקיימו ואלה שבוטלו.</w:t>
      </w:r>
    </w:p>
    <w:p>
      <w:pPr>
        <w:bidi/>
        <w:spacing w:after="0" w:before="0" w:line="360" w:lineRule="auto"/>
        <w:jc w:val="both"/>
      </w:pPr>
      <w:r>
        <w:rPr>
          <w:rFonts w:ascii="David" w:cs="David" w:eastAsia="David" w:hAnsi="David"/>
          <w:b w:val="false"/>
          <w:bCs w:val="false"/>
          <w:sz w:val="24"/>
          <w:szCs w:val="24"/>
          <w:rtl/>
        </w:rPr>
        <w:t xml:space="preserve">נספח ד' — העתקי הודעות המשיב בדבר ביטול המפגשים.</w:t>
      </w:r>
    </w:p>
    <w:p>
      <w:pPr>
        <w:bidi/>
        <w:spacing w:after="0" w:before="0" w:line="360" w:lineRule="auto"/>
        <w:jc w:val="both"/>
      </w:pPr>
      <w:r>
        <w:rPr>
          <w:rFonts w:ascii="David" w:cs="David" w:eastAsia="David" w:hAnsi="David"/>
          <w:b w:val="false"/>
          <w:bCs w:val="false"/>
          <w:sz w:val="24"/>
          <w:szCs w:val="24"/>
          <w:rtl/>
        </w:rPr>
        <w:t xml:space="preserve">תצהיר המבקשת לאימות העובדות — מצורף בנפרד.</w:t>
      </w:r>
    </w:p>
    <w:sectPr>
      <w:footerReference w:type="default" r:id="rId7"/>
      <w:pgSz w:w="11906" w:h="16838" w:orient="portrait"/>
      <w:pgMar w:top="850" w:right="1417" w:bottom="646" w:left="1417" w:header="454" w:footer="34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b w:val="false"/>
        <w:bCs w:val="false"/>
        <w:sz w:val="18"/>
        <w:szCs w:val="18"/>
        <w:rtl/>
      </w:rPr>
      <w:t xml:space="preserve">- </w:t>
    </w:r>
    <w:r>
      <w:rPr>
        <w:rFonts w:ascii="David" w:cs="David" w:eastAsia="David" w:hAnsi="David"/>
        <w:sz w:val="18"/>
        <w:szCs w:val="18"/>
        <w:rtl/>
      </w:rPr>
      <w:fldChar w:fldCharType="begin"/>
      <w:instrText xml:space="preserve">PAGE</w:instrText>
      <w:fldChar w:fldCharType="separate"/>
      <w:fldChar w:fldCharType="end"/>
    </w:r>
    <w:r>
      <w:rPr>
        <w:rFonts w:ascii="David" w:cs="David" w:eastAsia="David" w:hAnsi="David"/>
        <w:b w:val="false"/>
        <w:bCs w:val="false"/>
        <w:sz w:val="18"/>
        <w:szCs w:val="18"/>
        <w:rtl/>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47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בקשה לקביעת גיל</dc:title>
  <dc:creator>Legal DOCX</dc:creator>
  <cp:lastModifiedBy>Un-named</cp:lastModifiedBy>
  <cp:revision>1</cp:revision>
  <dcterms:created xsi:type="dcterms:W3CDTF">2026-08-18T11:41:14.764Z</dcterms:created>
  <dcterms:modified xsi:type="dcterms:W3CDTF">2026-08-18T11:41:14.764Z</dcterms:modified>
</cp:coreProperties>
</file>

<file path=docProps/custom.xml><?xml version="1.0" encoding="utf-8"?>
<Properties xmlns="http://schemas.openxmlformats.org/officeDocument/2006/custom-properties" xmlns:vt="http://schemas.openxmlformats.org/officeDocument/2006/docPropsVTypes"/>
</file>