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bidi/>
              <w:spacing w:after="20"/>
              <w:jc w:val="start"/>
            </w:pPr>
            <w:r>
              <w:rPr>
                <w:rFonts w:ascii="David" w:cs="David" w:eastAsia="David" w:hAnsi="David"/>
                <w:b/>
                <w:bCs/>
                <w:sz w:val="24"/>
                <w:szCs w:val="24"/>
                <w:rtl/>
              </w:rPr>
              <w:t xml:space="preserve">בבית המשפט לענייני משפחה בפתח תקווה</w:t>
            </w:r>
          </w:p>
        </w:tc>
        <w:tc>
          <w:tcPr>
            <w:tcW w:type="dxa" w:w="4819"/>
            <w:tcBorders>
              <w:top w:val="none" w:color="FFFFFF" w:sz="0"/>
              <w:left w:val="none" w:color="FFFFFF" w:sz="0"/>
              <w:bottom w:val="none" w:color="FFFFFF" w:sz="0"/>
              <w:right w:val="none" w:color="FFFFFF" w:sz="0"/>
            </w:tcBorders>
          </w:tcPr>
          <w:p>
            <w:pPr>
              <w:bidi/>
              <w:spacing w:after="20"/>
              <w:jc w:val="end"/>
            </w:pPr>
            <w:r>
              <w:rPr>
                <w:rFonts w:ascii="David" w:cs="David" w:eastAsia="David" w:hAnsi="David"/>
                <w:b/>
                <w:bCs/>
                <w:sz w:val="24"/>
                <w:szCs w:val="24"/>
                <w:rtl/>
              </w:rPr>
              <w:t xml:space="preserve">תלה"מ _______________</w:t>
            </w:r>
          </w:p>
          <w:p>
            <w:pPr>
              <w:bidi/>
              <w:jc w:val="end"/>
            </w:pPr>
            <w:r>
              <w:rPr>
                <w:rFonts w:ascii="David" w:cs="David" w:eastAsia="David" w:hAnsi="David"/>
                <w:b w:val="false"/>
                <w:bCs w:val="false"/>
                <w:sz w:val="20"/>
                <w:szCs w:val="20"/>
                <w:rtl/>
              </w:rPr>
              <w:t xml:space="preserve">הליכים קשורים: 16016-04-25, 16735-04-25, 1177878/3</w:t>
            </w:r>
          </w:p>
        </w:tc>
      </w:tr>
    </w:tbl>
    <w:p>
      <w:pPr>
        <w:bidi/>
        <w:spacing w:after="30" w:line="252" w:lineRule="auto"/>
        <w:jc w:val="start"/>
      </w:pPr>
      <w:r>
        <w:rPr>
          <w:rFonts w:ascii="David" w:cs="David" w:eastAsia="David" w:hAnsi="David"/>
          <w:b/>
          <w:bCs/>
          <w:sz w:val="22"/>
          <w:szCs w:val="22"/>
          <w:rtl/>
        </w:rPr>
        <w:t xml:space="preserve">בעניין הקטינים: </w:t>
      </w:r>
      <w:r>
        <w:rPr>
          <w:rFonts w:ascii="David" w:cs="David" w:eastAsia="David" w:hAnsi="David"/>
          <w:b w:val="false"/>
          <w:bCs w:val="false"/>
          <w:sz w:val="22"/>
          <w:szCs w:val="22"/>
          <w:rtl/>
        </w:rPr>
        <w:t xml:space="preserve">אלירן (2014), ליאל (2017), אמילי (2020) ונויה (2024), כולם לבית מרי.</w:t>
      </w:r>
    </w:p>
    <w:p>
      <w:pPr>
        <w:pBdr>
          <w:bottom w:val="single" w:color="000000" w:sz="6" w:space="1"/>
        </w:pBdr>
        <w:bidi/>
        <w:spacing w:after="60"/>
      </w:pPr>
      <w:r>
        <w:rPr>
          <w:rFonts w:ascii="David" w:cs="David" w:eastAsia="David" w:hAnsi="David"/>
          <w:b w:val="false"/>
          <w:bCs w:val="false"/>
          <w:sz w:val="4"/>
          <w:szCs w:val="4"/>
          <w:rtl/>
        </w:rPr>
        <w:t xml:space="preserve"/>
      </w:r>
    </w:p>
    <w:p>
      <w:pPr>
        <w:bidi/>
        <w:spacing w:after="10" w:line="252" w:lineRule="auto"/>
        <w:jc w:val="start"/>
      </w:pPr>
      <w:r>
        <w:rPr>
          <w:rFonts w:ascii="David" w:cs="David" w:eastAsia="David" w:hAnsi="David"/>
          <w:b/>
          <w:bCs/>
          <w:sz w:val="24"/>
          <w:szCs w:val="24"/>
          <w:u w:val="single"/>
          <w:rtl/>
        </w:rPr>
        <w:t xml:space="preserve">התובע: </w:t>
      </w:r>
      <w:r>
        <w:rPr>
          <w:rFonts w:ascii="David" w:cs="David" w:eastAsia="David" w:hAnsi="David"/>
          <w:b w:val="false"/>
          <w:bCs w:val="false"/>
          <w:sz w:val="24"/>
          <w:szCs w:val="24"/>
          <w:rtl/>
        </w:rPr>
        <w:t xml:space="preserve">מרי מלקמו, ת.ז. 323321174, מרחוב נחום 20, נתניה</w:t>
      </w:r>
      <w:r>
        <w:rPr>
          <w:rFonts w:ascii="David" w:cs="David" w:eastAsia="David" w:hAnsi="David"/>
          <w:b/>
          <w:bCs/>
          <w:sz w:val="24"/>
          <w:szCs w:val="24"/>
          <w:rtl/>
        </w:rPr>
        <w:t xml:space="preserve">  (להלן: "התובע" או "האב")</w:t>
      </w:r>
    </w:p>
    <w:p>
      <w:pPr>
        <w:bidi/>
        <w:spacing w:after="10" w:line="252" w:lineRule="auto"/>
        <w:jc w:val="start"/>
      </w:pPr>
      <w:r>
        <w:rPr>
          <w:rFonts w:ascii="David" w:cs="David" w:eastAsia="David" w:hAnsi="David"/>
          <w:b w:val="false"/>
          <w:bCs w:val="false"/>
          <w:sz w:val="22"/>
          <w:szCs w:val="22"/>
          <w:rtl/>
        </w:rPr>
        <w:t xml:space="preserve">ע"י ב"כ עו"ד גילעד אבוהיי, מ.ר 84365, מרחוב סמילנסקי 4, נתניה | טל': 09-8340070</w:t>
      </w:r>
    </w:p>
    <w:p>
      <w:pPr>
        <w:bidi/>
        <w:spacing w:after="20" w:before="20"/>
        <w:jc w:val="center"/>
      </w:pPr>
      <w:r>
        <w:rPr>
          <w:rFonts w:ascii="David" w:cs="David" w:eastAsia="David" w:hAnsi="David"/>
          <w:b/>
          <w:bCs/>
          <w:sz w:val="22"/>
          <w:szCs w:val="22"/>
          <w:rtl/>
        </w:rPr>
        <w:t xml:space="preserve">- נ ג ד -</w:t>
      </w:r>
    </w:p>
    <w:p>
      <w:pPr>
        <w:bidi/>
        <w:spacing w:after="10" w:line="252" w:lineRule="auto"/>
        <w:jc w:val="start"/>
      </w:pPr>
      <w:r>
        <w:rPr>
          <w:rFonts w:ascii="David" w:cs="David" w:eastAsia="David" w:hAnsi="David"/>
          <w:b/>
          <w:bCs/>
          <w:sz w:val="24"/>
          <w:szCs w:val="24"/>
          <w:u w:val="single"/>
          <w:rtl/>
        </w:rPr>
        <w:t xml:space="preserve">הנתבעת: </w:t>
      </w:r>
      <w:r>
        <w:rPr>
          <w:rFonts w:ascii="David" w:cs="David" w:eastAsia="David" w:hAnsi="David"/>
          <w:b w:val="false"/>
          <w:bCs w:val="false"/>
          <w:sz w:val="24"/>
          <w:szCs w:val="24"/>
          <w:rtl/>
        </w:rPr>
        <w:t xml:space="preserve">מרי סיראנש, ת.ז. 324562511, מרחוב נחום 20, נתניה | נייד: 0543448242</w:t>
      </w:r>
      <w:r>
        <w:rPr>
          <w:rFonts w:ascii="David" w:cs="David" w:eastAsia="David" w:hAnsi="David"/>
          <w:b/>
          <w:bCs/>
          <w:sz w:val="24"/>
          <w:szCs w:val="24"/>
          <w:rtl/>
        </w:rPr>
        <w:t xml:space="preserve">  (להלן: "הנתבעת" או "האם")</w:t>
      </w:r>
    </w:p>
    <w:p>
      <w:pPr>
        <w:bidi/>
        <w:spacing w:after="10" w:line="252" w:lineRule="auto"/>
        <w:jc w:val="start"/>
      </w:pPr>
      <w:r>
        <w:rPr>
          <w:rFonts w:ascii="David" w:cs="David" w:eastAsia="David" w:hAnsi="David"/>
          <w:b w:val="false"/>
          <w:bCs w:val="false"/>
          <w:sz w:val="22"/>
          <w:szCs w:val="22"/>
          <w:rtl/>
        </w:rPr>
        <w:t xml:space="preserve">ע"י ב"כ עו"ד _______________, מ.ר _______________, מרחוב _______________ | טל': _______________</w:t>
      </w:r>
    </w:p>
    <w:p>
      <w:pPr>
        <w:pBdr>
          <w:bottom w:val="single" w:color="000000" w:sz="6" w:space="1"/>
        </w:pBdr>
        <w:bidi/>
        <w:spacing w:after="60"/>
      </w:pPr>
      <w:r>
        <w:rPr>
          <w:rFonts w:ascii="David" w:cs="David" w:eastAsia="David" w:hAnsi="David"/>
          <w:b w:val="false"/>
          <w:bCs w:val="false"/>
          <w:sz w:val="4"/>
          <w:szCs w:val="4"/>
          <w:rtl/>
        </w:rPr>
        <w:t xml:space="preserve"/>
      </w:r>
    </w:p>
    <w:p>
      <w:pPr>
        <w:bidi/>
        <w:spacing w:after="100" w:before="60"/>
        <w:jc w:val="center"/>
      </w:pPr>
      <w:r>
        <w:rPr>
          <w:rFonts w:ascii="David" w:cs="David" w:eastAsia="David" w:hAnsi="David"/>
          <w:b/>
          <w:bCs/>
          <w:sz w:val="28"/>
          <w:szCs w:val="28"/>
          <w:u w:val="single"/>
          <w:rtl/>
        </w:rPr>
        <w:t xml:space="preserve">כתב הגנה</w:t>
      </w:r>
    </w:p>
    <w:p>
      <w:pPr>
        <w:bidi/>
        <w:spacing w:after="80" w:line="252" w:lineRule="auto"/>
        <w:jc w:val="both"/>
      </w:pPr>
      <w:r>
        <w:rPr>
          <w:rFonts w:ascii="David" w:cs="David" w:eastAsia="David" w:hAnsi="David"/>
          <w:b w:val="false"/>
          <w:bCs w:val="false"/>
          <w:sz w:val="24"/>
          <w:szCs w:val="24"/>
          <w:rtl/>
        </w:rPr>
        <w:t xml:space="preserve">הנתבעת מתכבדת להגיש את כתב הגנתה בתשובה לתביעת התובע לקביעת אחריות הורית משותפת (משמורת משותפת) וזמני שהות שוויוניים, כמפורט להלן:</w:t>
      </w:r>
    </w:p>
    <w:p>
      <w:pPr>
        <w:bidi/>
        <w:spacing w:after="40" w:before="120" w:line="252" w:lineRule="auto"/>
        <w:jc w:val="start"/>
      </w:pPr>
      <w:r>
        <w:rPr>
          <w:rFonts w:ascii="David" w:cs="David" w:eastAsia="David" w:hAnsi="David"/>
          <w:b/>
          <w:bCs/>
          <w:sz w:val="24"/>
          <w:szCs w:val="24"/>
          <w:u w:val="single"/>
          <w:rtl/>
        </w:rPr>
        <w:t xml:space="preserve">א. כללי</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הנתבעת מכחישה את מרבית הטענות העובדתיות והמשפטיות שבכתב התביעה, למעט המפורט להלן, ומכחישה כל טענה שאינה מודה בה במפורש. למען הסר ספק: הנתבעת אינה מתנגדת כשלעצמה לקשר רציף ומשמעותי בין הקטינים לאביהם ולמעורבותו בחייהם, אך מתנגדת לקביעת אחריות הורית משותפת, משמורת משותפת וזמני שהות שוויוניים כמבוקש, שכן התובע אינו ערוך ואינו מסוגל, נכון להיום, לעמוד בחובות היום-יומיות הכרוכות בגידול הקטינים ובטיפול השוטף בהם, ומטעמים של טובת הקטינים ושלומם.</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התיאור שבכתב התביעה, ולפיו התובע שותף מלא ופעיל בגידול הקטינים ובטיפול היום-יומי בהם (סעיפים 2 ו-6 עד 13), רחוק מן המציאות, אינו משקף את חלוקת התפקידים ההורית שנהגה בפועל בין הצדדים לאורך השנים, ומוכחש מכל וכל.</w:t>
      </w:r>
    </w:p>
    <w:p>
      <w:pPr>
        <w:bidi/>
        <w:spacing w:after="40" w:before="120" w:line="252" w:lineRule="auto"/>
        <w:jc w:val="start"/>
      </w:pPr>
      <w:r>
        <w:rPr>
          <w:rFonts w:ascii="David" w:cs="David" w:eastAsia="David" w:hAnsi="David"/>
          <w:b/>
          <w:bCs/>
          <w:sz w:val="24"/>
          <w:szCs w:val="24"/>
          <w:u w:val="single"/>
          <w:rtl/>
        </w:rPr>
        <w:t xml:space="preserve">ב. המצב לאמיתו - הכחשת מעורבותו היום-יומית של התובע</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התובע אינו מכיר את שגרת חייהם והרגליהם היום-יומיים של הקטינים, אינו יודע מהם מאכליהם האהובים ומה אינו אהוב עליהם, ואינו בקיא בהעדפותיהם ובצורכיהם. כן אינו פוקד את מוסדות החינוך של הקטינים ואינו מעורב בנעשה בהם, והמורים, המחנכים והצוות החינוכי אינם מכירים אותו כלל.</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התובע אינו יודע כיצד להכין מזון לקטינים; במהלך כל שנות המגורים המשותפים לא נכנס למטבח ולא הכין ולו ארוחה אחת עבורם, ואף לא ביצה מטוגנת. כן אינו נוטל חלק בעבודות הבית: אינו מבצע כביסות, אינו שוטף כלים, ואינו אחראי על הקניות המרוכזות; רק לאחרונה החל לרכוש מוצרים בודדים ומזדמנים במכולת השכונתית (כגון חלב ואשל), ואין בכך כדי ללמד על נשיאה בנטל הטיפול היום-יומי.</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משכך מוכחשות אף הטענות שבסעיפים 8-9 לכתב התביעה: התובע אינו נושא בפועל במרבית הוצאות משק הבית, והנתבעת היא הנושאת בעיקר הנטל הטיפולי והכלכלי היום-יומי הכרוך בגידול הקטינים, ועל התובע להוכיח טענותיו בראיות. אכן הצדדים מתגוררים כיום תחת קורת גג אחת (סעיף 5), אך אין בכך כדי ללמד על מעורבות טיפולית שוויונית מצדו.</w:t>
      </w:r>
    </w:p>
    <w:p>
      <w:pPr>
        <w:bidi/>
        <w:spacing w:after="40" w:before="120" w:line="252" w:lineRule="auto"/>
        <w:jc w:val="start"/>
      </w:pPr>
      <w:r>
        <w:rPr>
          <w:rFonts w:ascii="David" w:cs="David" w:eastAsia="David" w:hAnsi="David"/>
          <w:b/>
          <w:bCs/>
          <w:sz w:val="24"/>
          <w:szCs w:val="24"/>
          <w:u w:val="single"/>
          <w:rtl/>
        </w:rPr>
        <w:t xml:space="preserve">ג. חשש ממשי לשלום הקטינים - צריכת אלכוהול</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למעלה מן הדרוש, ומטעמי טובת הקטינים ושלומם, מובא לידיעת בית המשפט כי התובע צורך משקאות חריפים באופן יום-יומי; מדי לילה מצוי מתחת למיטתו בקבוק משקה חריף, בעיקר ערק, והוא נוהג להסתגר בחדרו ולשתות ללא הפוגה, וכל זאת בבית שבו מתגוררים הקטינים.</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התנהלות זו מעוררת חשש ממשי וכבד באשר ליכולתו של התובע ליטול אחריות הורית ומשמורת משותפת ולשמור על שלום הקטינים ובטיחותם, וקבלת התביעה בטרם נבחנה כשירותו ההורית לעומק עלולה לפגוע בטובתם.</w:t>
      </w:r>
    </w:p>
    <w:p>
      <w:pPr>
        <w:bidi/>
        <w:spacing w:after="40" w:before="120" w:line="252" w:lineRule="auto"/>
        <w:jc w:val="start"/>
      </w:pPr>
      <w:r>
        <w:rPr>
          <w:rFonts w:ascii="David" w:cs="David" w:eastAsia="David" w:hAnsi="David"/>
          <w:b/>
          <w:bCs/>
          <w:sz w:val="24"/>
          <w:szCs w:val="24"/>
          <w:u w:val="single"/>
          <w:rtl/>
        </w:rPr>
        <w:t xml:space="preserve">ד. טובת הקטינים והצורך בתסקיר בטרם הכרעה</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טובת הקטינים היא העיקרון המנחה, ועל בית המשפט לבחון לעומק את מסוגלותו וכשירותו ההורית של כל הורה בטרם הכרעה. יצוין כי התובע עצמו הצהיר על נכונותו לשתף פעולה עם גורמי הרווחה ויחידת הסיוע (סעיף 19), ואף עתר להפניית הצדדים לתסקיר (סעיף ד' לסעדים), כך שאין כל מניעה לעריכת תסקיר בטרם הכרעה.</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אי לכך מתבקש בית המשפט להורות, בטרם כל החלטה, על עריכת תסקיר סעד מקיף בידי עו"ס לסדרי דין, לרבות בחינת מסוגלותו ההורית של התובע והרגלי צריכת האלכוהול שלו והשלכותיהם על הקטינים, וכן שמיעת עמדת הקטינים בהתאם לגילם. הנתבעת נכונה לשתף פעולה באופן מלא עם כל גורם מקצועי שימונה.</w:t>
      </w:r>
    </w:p>
    <w:p>
      <w:pPr>
        <w:bidi/>
        <w:spacing w:after="40" w:before="120" w:line="252" w:lineRule="auto"/>
        <w:jc w:val="start"/>
      </w:pPr>
      <w:r>
        <w:rPr>
          <w:rFonts w:ascii="David" w:cs="David" w:eastAsia="David" w:hAnsi="David"/>
          <w:b/>
          <w:bCs/>
          <w:sz w:val="24"/>
          <w:szCs w:val="24"/>
          <w:u w:val="single"/>
          <w:rtl/>
        </w:rPr>
        <w:t xml:space="preserve">ה. הסעדים המבוקשים</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לדחות את התביעה לאחריות הורית משותפת, משמורת משותפת וזמני שהות שוויוניים, כמבוקש.</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לחלופין, להורות על עריכת תסקיר סעד ובדיקת מסוגלות הורית, ולעכב כל הכרעה בתביעה עד לקבלתם ולעמדת גורמי המקצוע.</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לקבוע כי האחריות ההורית והמשמורת על הקטינים ייוותרו בידי הנתבעת, וכי זמני השהות עם התובע ייקבעו באופן מדורג ומבוקר בהתאם להמלצות גורמי המקצוע ולטובת הקטינים.</w:t>
      </w:r>
    </w:p>
    <w:p>
      <w:pPr>
        <w:pStyle w:val="ListParagraph"/>
        <w:numPr>
          <w:ilvl w:val="0"/>
          <w:numId w:val="2"/>
        </w:numPr>
        <w:bidi/>
        <w:spacing w:after="80" w:line="252" w:lineRule="auto"/>
        <w:jc w:val="both"/>
      </w:pPr>
      <w:r>
        <w:rPr>
          <w:rFonts w:ascii="David" w:cs="David" w:eastAsia="David" w:hAnsi="David"/>
          <w:b w:val="false"/>
          <w:bCs w:val="false"/>
          <w:sz w:val="24"/>
          <w:szCs w:val="24"/>
          <w:rtl/>
        </w:rPr>
        <w:t xml:space="preserve">לחייב את התובע בהוצאות ההליך ובשכר טרחת עורך דין.</w:t>
      </w:r>
    </w:p>
    <w:p>
      <w:pPr>
        <w:bidi/>
        <w:spacing w:after="100" w:line="252" w:lineRule="auto"/>
        <w:jc w:val="both"/>
      </w:pPr>
      <w:r>
        <w:rPr>
          <w:rFonts w:ascii="David" w:cs="David" w:eastAsia="David" w:hAnsi="David"/>
          <w:b/>
          <w:bCs/>
          <w:sz w:val="24"/>
          <w:szCs w:val="24"/>
          <w:rtl/>
        </w:rPr>
        <w:t xml:space="preserve">הנתבעת שומרת על מלוא טענותיה וזכויותיה, לרבות להגיש ראיות ותצהירים נוספים. כתב הגנה זה נתמך בתצהיר הנתבעת המצורף לו כחלק בלתי נפרד ממנו.</w:t>
      </w:r>
    </w:p>
    <w:p>
      <w:pPr>
        <w:bidi/>
        <w:spacing w:after="0" w:before="120" w:line="252" w:lineRule="auto"/>
        <w:jc w:val="end"/>
      </w:pPr>
      <w:r>
        <w:rPr>
          <w:rFonts w:ascii="David" w:cs="David" w:eastAsia="David" w:hAnsi="David"/>
          <w:b w:val="false"/>
          <w:bCs w:val="false"/>
          <w:sz w:val="22"/>
          <w:szCs w:val="22"/>
          <w:rtl/>
        </w:rPr>
        <w:t xml:space="preserve">_______________, עו"ד  |  ב"כ הנתבעת  |  תאריך: _______________</w:t>
      </w:r>
    </w:p>
    <w:p>
      <w:pPr>
        <w:bidi/>
        <w:spacing w:after="40" w:before="160"/>
        <w:jc w:val="center"/>
      </w:pPr>
      <w:r>
        <w:rPr>
          <w:rFonts w:ascii="David" w:cs="David" w:eastAsia="David" w:hAnsi="David"/>
          <w:b/>
          <w:bCs/>
          <w:sz w:val="26"/>
          <w:szCs w:val="26"/>
          <w:u w:val="single"/>
          <w:rtl/>
        </w:rPr>
        <w:t xml:space="preserve">תצהיר</w:t>
      </w:r>
    </w:p>
    <w:p>
      <w:pPr>
        <w:bidi/>
        <w:spacing w:after="60" w:line="252" w:lineRule="auto"/>
        <w:jc w:val="both"/>
      </w:pPr>
      <w:r>
        <w:rPr>
          <w:rFonts w:ascii="David" w:cs="David" w:eastAsia="David" w:hAnsi="David"/>
          <w:b w:val="false"/>
          <w:bCs w:val="false"/>
          <w:sz w:val="24"/>
          <w:szCs w:val="24"/>
          <w:rtl/>
        </w:rPr>
        <w:t xml:space="preserve">אני הח"מ, מרי סיראנש, ת.ז. 324562511, לאחר שהוזהרתי כי עליי לומר את האמת וכי אהיה צפויה לעונשים הקבועים בחוק אם לא אעשה כן, מצהירה בזאת בכתב כדלקמן:</w:t>
      </w:r>
    </w:p>
    <w:p>
      <w:pPr>
        <w:pStyle w:val="ListParagraph"/>
        <w:numPr>
          <w:ilvl w:val="0"/>
          <w:numId w:val="3"/>
        </w:numPr>
        <w:bidi/>
        <w:spacing w:after="80" w:line="252" w:lineRule="auto"/>
        <w:jc w:val="both"/>
      </w:pPr>
      <w:r>
        <w:rPr>
          <w:rFonts w:ascii="David" w:cs="David" w:eastAsia="David" w:hAnsi="David"/>
          <w:b w:val="false"/>
          <w:bCs w:val="false"/>
          <w:sz w:val="24"/>
          <w:szCs w:val="24"/>
          <w:rtl/>
        </w:rPr>
        <w:t xml:space="preserve">אני הנתבעת ואם הקטינים, ונותנת תצהירי זה בתמיכה לכתב ההגנה. כל העובדות המפורטות בכתב ההגנה שלעיל ידועות לי מידיעתי האישית והן אמת, ואני מאמתת אותן כאילו הובאו כאן במלואן.</w:t>
      </w:r>
    </w:p>
    <w:p>
      <w:pPr>
        <w:pStyle w:val="ListParagraph"/>
        <w:numPr>
          <w:ilvl w:val="0"/>
          <w:numId w:val="3"/>
        </w:numPr>
        <w:bidi/>
        <w:spacing w:after="80" w:line="252" w:lineRule="auto"/>
        <w:jc w:val="both"/>
      </w:pPr>
      <w:r>
        <w:rPr>
          <w:rFonts w:ascii="David" w:cs="David" w:eastAsia="David" w:hAnsi="David"/>
          <w:b w:val="false"/>
          <w:bCs w:val="false"/>
          <w:sz w:val="24"/>
          <w:szCs w:val="24"/>
          <w:rtl/>
        </w:rPr>
        <w:t xml:space="preserve">התובע אינו מעורב בטיפול היום-יומי בקטינים, אינו מכיר את הרגליהם ושגרת חייהם, אינו פוקד את מוסדות החינוך שלהם ואינו נוטל חלק בעבודות הבית ובהכנת מזון; והוא צורך משקאות חריפים באופן יום-יומי, בעיקר ערק, כמפורט בכתב ההגנה.</w:t>
      </w:r>
    </w:p>
    <w:p>
      <w:pPr>
        <w:pStyle w:val="ListParagraph"/>
        <w:numPr>
          <w:ilvl w:val="0"/>
          <w:numId w:val="3"/>
        </w:numPr>
        <w:bidi/>
        <w:spacing w:after="80" w:line="252" w:lineRule="auto"/>
        <w:jc w:val="both"/>
      </w:pPr>
      <w:r>
        <w:rPr>
          <w:rFonts w:ascii="David" w:cs="David" w:eastAsia="David" w:hAnsi="David"/>
          <w:b w:val="false"/>
          <w:bCs w:val="false"/>
          <w:sz w:val="24"/>
          <w:szCs w:val="24"/>
          <w:rtl/>
        </w:rPr>
        <w:t xml:space="preserve">זה שמי, זו חתימתי, ותוכן תצהירי אמת.</w:t>
      </w:r>
    </w:p>
    <w:p>
      <w:pPr>
        <w:bidi/>
        <w:spacing w:after="40" w:before="100" w:line="252" w:lineRule="auto"/>
        <w:jc w:val="end"/>
      </w:pPr>
      <w:r>
        <w:rPr>
          <w:rFonts w:ascii="David" w:cs="David" w:eastAsia="David" w:hAnsi="David"/>
          <w:b w:val="false"/>
          <w:bCs w:val="false"/>
          <w:sz w:val="22"/>
          <w:szCs w:val="22"/>
          <w:rtl/>
        </w:rPr>
        <w:t xml:space="preserve">_______________  |  מרי סיראנש, המצהירה</w:t>
      </w:r>
    </w:p>
    <w:p>
      <w:pPr>
        <w:bidi/>
        <w:spacing w:after="30" w:line="252" w:lineRule="auto"/>
        <w:jc w:val="start"/>
      </w:pPr>
      <w:r>
        <w:rPr>
          <w:rFonts w:ascii="David" w:cs="David" w:eastAsia="David" w:hAnsi="David"/>
          <w:b/>
          <w:bCs/>
          <w:sz w:val="22"/>
          <w:szCs w:val="22"/>
          <w:u w:val="single"/>
          <w:rtl/>
        </w:rPr>
        <w:t xml:space="preserve">אישור: </w:t>
      </w:r>
      <w:r>
        <w:rPr>
          <w:rFonts w:ascii="David" w:cs="David" w:eastAsia="David" w:hAnsi="David"/>
          <w:b w:val="false"/>
          <w:bCs w:val="false"/>
          <w:sz w:val="22"/>
          <w:szCs w:val="22"/>
          <w:rtl/>
        </w:rPr>
        <w:t xml:space="preserve">הריני לאשר כי ביום _______________ הופיעה בפניי, _______________, עו"ד, גב' מרי סיראנש, שזיהתה עצמה בת.ז. 324562511 / המוכרת לי אישית, ולאחר שהזהרתיה כי עליה להצהיר את האמת וכי תהיה צפויה לעונשים הקבועים בחוק אם לא תעשה כן, אישרה נכונות תצהירה וחתמה עליו בפניי.  ______________, עו"ד</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00" w:hanging="300"/>
      </w:pPr>
    </w:lvl>
  </w:abstractNum>
  <w:abstractNum w:abstractNumId="3" w15:restartNumberingAfterBreak="0">
    <w:multiLevelType w:val="hybridMultilevel"/>
    <w:lvl w:ilvl="0" w15:tentative="1">
      <w:start w:val="1"/>
      <w:numFmt w:val="decimal"/>
      <w:suff w:val="tab"/>
      <w:lvlText w:val="%1."/>
      <w:lvlJc w:val="star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Legal DOCX</dc:creator>
  <cp:lastModifiedBy>Un-named</cp:lastModifiedBy>
  <cp:revision>1</cp:revision>
  <dcterms:created xsi:type="dcterms:W3CDTF">2026-08-05T14:47:43.919Z</dcterms:created>
  <dcterms:modified xsi:type="dcterms:W3CDTF">2026-08-05T14:47:43.932Z</dcterms:modified>
</cp:coreProperties>
</file>

<file path=docProps/custom.xml><?xml version="1.0" encoding="utf-8"?>
<Properties xmlns="http://schemas.openxmlformats.org/officeDocument/2006/custom-properties" xmlns:vt="http://schemas.openxmlformats.org/officeDocument/2006/docPropsVTypes"/>
</file>