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/>
        <w:jc w:val="center"/>
      </w:pPr>
      <w:r>
        <w:rPr>
          <w:rFonts w:ascii="David" w:cs="David" w:eastAsia="David" w:hAnsi="David"/>
          <w:b/>
          <w:bCs/>
          <w:sz w:val="30"/>
          <w:szCs w:val="30"/>
          <w:u w:val="single"/>
          <w:rtl/>
        </w:rPr>
        <w:t xml:space="preserve">הנחיות מילוי — בקשה למתן החלטה</w:t>
      </w:r>
    </w:p>
    <w:p>
      <w:pPr>
        <w:bidi/>
        <w:spacing w:after="240" w:before="0" w:line="320" w:lineRule="auto"/>
        <w:jc w:val="center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מסמך זה נועד לסייע במילוי הבקשה. הוא אינו מוגש לבית המשפט — מחק אותו לפני ההגשה.</w:t>
      </w:r>
    </w:p>
    <w:p>
      <w:pPr>
        <w:bidi/>
        <w:spacing w:after="140" w:before="300" w:line="320" w:lineRule="auto"/>
        <w:jc w:val="start"/>
      </w:pPr>
      <w:r>
        <w:rPr>
          <w:rFonts w:ascii="David" w:cs="David" w:eastAsia="David" w:hAnsi="David"/>
          <w:b/>
          <w:bCs/>
          <w:sz w:val="26"/>
          <w:szCs w:val="26"/>
          <w:u w:val="single"/>
          <w:rtl/>
        </w:rPr>
        <w:t xml:space="preserve">א. שדות למילוי</w:t>
      </w:r>
    </w:p>
    <w:p>
      <w:pPr>
        <w:bidi/>
        <w:spacing w:after="160" w:before="0" w:line="32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כל שדה המסומן בקו תחתון בבקשה טעון השלמה. ודא עקביות מלאה מול שאר כתבי בי-דין בתיק.</w:t>
      </w:r>
    </w:p>
    <w:tbl>
      <w:tblPr>
        <w:bidiVisual/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72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הפרט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היכן מופיע</w:t>
            </w:r>
          </w:p>
        </w:tc>
        <w:tc>
          <w:tcPr>
            <w:tcW w:type="dxa" w:w="30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הערה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שם ותפקיד הערכאה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כותרת</w:t>
            </w:r>
          </w:p>
        </w:tc>
        <w:tc>
          <w:tcPr>
            <w:tcW w:type="dxa" w:w="30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בית המשפט לענייני משפחה — השלם את העיר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מספר תיק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כותרת</w:t>
            </w:r>
          </w:p>
        </w:tc>
        <w:tc>
          <w:tcPr>
            <w:tcW w:type="dxa" w:w="30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כפי שהוקצה בפתיחת ההליך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שם המבקש + ת.ז.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כותרת</w:t>
            </w:r>
          </w:p>
        </w:tc>
        <w:tc>
          <w:tcPr>
            <w:tcW w:type="dxa" w:w="30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זהה לכתבי בי-דין הקודמים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כתובת המבקש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כותרת</w:t>
            </w:r>
          </w:p>
        </w:tc>
        <w:tc>
          <w:tcPr>
            <w:tcW w:type="dxa" w:w="30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רחוב, מספר ועיר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פרטי ב"כ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כותרת + חתימה</w:t>
            </w:r>
          </w:p>
        </w:tc>
        <w:tc>
          <w:tcPr>
            <w:tcW w:type="dxa" w:w="30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שם, מ.ר., כתובת, טל', דוא"ל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כתובת סניף המשיב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כותרת</w:t>
            </w:r>
          </w:p>
        </w:tc>
        <w:tc>
          <w:tcPr>
            <w:tcW w:type="dxa" w:w="30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סניף כפר סבא — הרחוב שבו בוצעה המסירה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תאריך הגשת הבקשה המקורית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פתיח + סעיף 1 + סעד א'</w:t>
            </w:r>
          </w:p>
        </w:tc>
        <w:tc>
          <w:tcPr>
            <w:tcW w:type="dxa" w:w="30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אותו תאריך בשלושת המקומות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תאריך ההחלטה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סעיף 2</w:t>
            </w:r>
          </w:p>
        </w:tc>
        <w:tc>
          <w:tcPr>
            <w:tcW w:type="dxa" w:w="30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ההחלטה שהורתה על תגובת המשיב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מספר הימים שנקצב לתגובה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סעיף 2</w:t>
            </w:r>
          </w:p>
        </w:tc>
        <w:tc>
          <w:tcPr>
            <w:tcW w:type="dxa" w:w="30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כנקוב בהחלטה; אם לא נקצב — ראה סעיף ג' להלן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מספר ימים בסעד החלופי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סעד ב'</w:t>
            </w:r>
          </w:p>
        </w:tc>
        <w:tc>
          <w:tcPr>
            <w:tcW w:type="dxa" w:w="30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מומלץ 7 ימים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תאריך חתימה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סוף המסמך</w:t>
            </w:r>
          </w:p>
        </w:tc>
        <w:tc>
          <w:tcPr>
            <w:tcW w:type="dxa" w:w="30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יום ההגשה בפועל</w:t>
            </w:r>
          </w:p>
        </w:tc>
      </w:tr>
    </w:tbl>
    <w:p>
      <w:pPr>
        <w:bidi/>
        <w:spacing w:after="140" w:before="300" w:line="320" w:lineRule="auto"/>
        <w:jc w:val="start"/>
      </w:pPr>
      <w:r>
        <w:rPr>
          <w:rFonts w:ascii="David" w:cs="David" w:eastAsia="David" w:hAnsi="David"/>
          <w:b/>
          <w:bCs/>
          <w:sz w:val="26"/>
          <w:szCs w:val="26"/>
          <w:u w:val="single"/>
          <w:rtl/>
        </w:rPr>
        <w:t xml:space="preserve">ב. שים לב — פגרת הקיץ (חשוב)</w:t>
      </w:r>
    </w:p>
    <w:p>
      <w:pPr>
        <w:bidi/>
        <w:spacing w:after="120" w:before="0" w:line="320" w:lineRule="auto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שתי ההמצאות בוצעו בתוך פגרת הקיץ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 (21.7.2026 – 5.9.2026, לפי תקנות בתי המשפט (פגרות), התשמ"ג–1983). לפי תקנה 179(ב) לתקנות סדר הדין האזרחי, התשע"ט–2018, תקופת פגרה אינה באה במניין הימים שנקבעו בתקנות או בידי בית המשפט — </w:t>
      </w: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זולת אם בית המשפט הורה אחרת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.</w:t>
      </w:r>
    </w:p>
    <w:p>
      <w:pPr>
        <w:bidi/>
        <w:spacing w:after="140" w:before="0" w:line="32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המשמעות המעשית: ייתכן שהמועד שנקצב למשיב להגשת תגובה טרם חלף, ושהבקשה למתן החלטה מוקדמת. לכן — בדוק את נוסח ההחלטה לפני ההגשה, והכרע בין שתי החלופות שבסעיף 15 לבקשה:</w:t>
      </w:r>
    </w:p>
    <w:p>
      <w:pPr>
        <w:pStyle w:val="ListParagraph"/>
        <w:numPr>
          <w:ilvl w:val="0"/>
          <w:numId w:val="2"/>
        </w:numPr>
        <w:bidi/>
        <w:spacing w:after="100" w:line="320" w:lineRule="auto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חלופה א' — 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אם ההחלטה קבעה במפורש כי ימי הפגרה יבואו במניין, או נקבה בתאריך יעד קלנדרי שכבר חלף. השאר את חלופה א' ומחק את חלופה ב'.</w:t>
      </w:r>
    </w:p>
    <w:p>
      <w:pPr>
        <w:pStyle w:val="ListParagraph"/>
        <w:numPr>
          <w:ilvl w:val="0"/>
          <w:numId w:val="2"/>
        </w:numPr>
        <w:bidi/>
        <w:spacing w:after="100" w:line="320" w:lineRule="auto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חלופה ב' — 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אם ההחלטה שתקה בעניין הפגרה. השאר את חלופה ב' ומחק את חלופה א'. במצב זה עיקר הבקשה הוא הסעד החלופי — קציבת מועד קצר וסופי לתגובה — ולא מתן החלטה לאלתר.</w:t>
      </w:r>
    </w:p>
    <w:p>
      <w:pPr>
        <w:bidi/>
        <w:spacing w:after="160" w:before="0" w:line="32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בשני המקרים — מחק את המילים "(יש למחוק את החלופה שאינה רלוונטית)" ואת התוויות "[חלופה א']" / "[חלופה ב']" עצמן.</w:t>
      </w:r>
    </w:p>
    <w:p>
      <w:pPr>
        <w:bidi/>
        <w:spacing w:after="140" w:before="300" w:line="320" w:lineRule="auto"/>
        <w:jc w:val="start"/>
      </w:pPr>
      <w:r>
        <w:rPr>
          <w:rFonts w:ascii="David" w:cs="David" w:eastAsia="David" w:hAnsi="David"/>
          <w:b/>
          <w:bCs/>
          <w:sz w:val="26"/>
          <w:szCs w:val="26"/>
          <w:u w:val="single"/>
          <w:rtl/>
        </w:rPr>
        <w:t xml:space="preserve">ג. אם ההחלטה לא קצבה מועד לתגובה</w:t>
      </w:r>
    </w:p>
    <w:p>
      <w:pPr>
        <w:bidi/>
        <w:spacing w:after="120" w:before="0" w:line="32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ברירת המחדל בתקנה 50(3) לתקנות היא עשרים ימים מיום שהומצאה למשיב ההחלטה. במקרה זה מחק מסעיף 2 את המילים "בתוך ______ ימים" והחלף ב: "בתוך המועד הקבוע בתקנה 50(3) לתקנות".</w:t>
      </w:r>
    </w:p>
    <w:p>
      <w:pPr>
        <w:bidi/>
        <w:spacing w:after="140" w:before="300" w:line="320" w:lineRule="auto"/>
        <w:jc w:val="start"/>
      </w:pPr>
      <w:r>
        <w:rPr>
          <w:rFonts w:ascii="David" w:cs="David" w:eastAsia="David" w:hAnsi="David"/>
          <w:b/>
          <w:bCs/>
          <w:sz w:val="26"/>
          <w:szCs w:val="26"/>
          <w:u w:val="single"/>
          <w:rtl/>
        </w:rPr>
        <w:t xml:space="preserve">ד. צירופים מומלצים</w:t>
      </w:r>
    </w:p>
    <w:p>
      <w:pPr>
        <w:pStyle w:val="ListParagraph"/>
        <w:numPr>
          <w:ilvl w:val="0"/>
          <w:numId w:val="2"/>
        </w:numPr>
        <w:bidi/>
        <w:spacing w:after="100" w:line="32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העתק אישור המסירה מיום 21.7.2026 (הפלט ממערכת מסירת המסמכים שבאתר המוסד לביטוח לאומי).</w:t>
      </w:r>
    </w:p>
    <w:p>
      <w:pPr>
        <w:pStyle w:val="ListParagraph"/>
        <w:numPr>
          <w:ilvl w:val="0"/>
          <w:numId w:val="2"/>
        </w:numPr>
        <w:bidi/>
        <w:spacing w:after="100" w:line="32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העתק אישור המסירה מיום 4.8.2026 (הודעת אימות המסירה בגין המסירה האישית בסניף כפר סבא).</w:t>
      </w:r>
    </w:p>
    <w:p>
      <w:pPr>
        <w:pStyle w:val="ListParagraph"/>
        <w:numPr>
          <w:ilvl w:val="0"/>
          <w:numId w:val="2"/>
        </w:numPr>
        <w:bidi/>
        <w:spacing w:after="100" w:line="32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אם שני האישורים כבר הוגשו לתיק — ציין בגוף הבקשה את מספרי הבקשות/האסמכתאות שבהן הוגשו, חלף צירופם מחדש.</w:t>
      </w:r>
    </w:p>
    <w:p>
      <w:pPr>
        <w:pStyle w:val="ListParagraph"/>
        <w:numPr>
          <w:ilvl w:val="0"/>
          <w:numId w:val="2"/>
        </w:numPr>
        <w:bidi/>
        <w:spacing w:after="100" w:line="32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העתק הבקשה המקורית וההחלטה — רק אם בית המשפט ביקש זאת; אחרת הם מצויים בתיק.</w:t>
      </w:r>
    </w:p>
    <w:p>
      <w:pPr>
        <w:bidi/>
        <w:spacing w:after="140" w:before="300" w:line="320" w:lineRule="auto"/>
        <w:jc w:val="start"/>
      </w:pPr>
      <w:r>
        <w:rPr>
          <w:rFonts w:ascii="David" w:cs="David" w:eastAsia="David" w:hAnsi="David"/>
          <w:b/>
          <w:bCs/>
          <w:sz w:val="26"/>
          <w:szCs w:val="26"/>
          <w:u w:val="single"/>
          <w:rtl/>
        </w:rPr>
        <w:t xml:space="preserve">ה. בדיקות לפני הגשה</w:t>
      </w:r>
    </w:p>
    <w:p>
      <w:pPr>
        <w:pStyle w:val="ListParagraph"/>
        <w:numPr>
          <w:ilvl w:val="0"/>
          <w:numId w:val="2"/>
        </w:numPr>
        <w:bidi/>
        <w:spacing w:after="100" w:line="32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היקף הבקשה אינו עולה על חמישה עמודים (תקנה 50(5) לתקנות) — הנוסח הנוכחי עומד בכך בנוחות.</w:t>
      </w:r>
    </w:p>
    <w:p>
      <w:pPr>
        <w:pStyle w:val="ListParagraph"/>
        <w:numPr>
          <w:ilvl w:val="0"/>
          <w:numId w:val="2"/>
        </w:numPr>
        <w:bidi/>
        <w:spacing w:after="100" w:line="32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הבקשה אינה טעונה תצהיר, שכן היא נסמכת על מסמכים המצויים בתיק בית המשפט; סעיף 8 לבקשה אומר זאת במפורש. אם תוסיף עובדות שאינן עולות מן התיק — צרף תצהיר לאימותן (תקנה 50(1)).</w:t>
      </w:r>
    </w:p>
    <w:p>
      <w:pPr>
        <w:pStyle w:val="ListParagraph"/>
        <w:numPr>
          <w:ilvl w:val="0"/>
          <w:numId w:val="2"/>
        </w:numPr>
        <w:bidi/>
        <w:spacing w:after="100" w:line="32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ודא שהתאריכים 21.7.2026 ו-4.8.2026 תואמים במדויק לאישורי המסירה שבידך.</w:t>
      </w:r>
    </w:p>
    <w:p>
      <w:pPr>
        <w:pStyle w:val="ListParagraph"/>
        <w:numPr>
          <w:ilvl w:val="0"/>
          <w:numId w:val="2"/>
        </w:numPr>
        <w:bidi/>
        <w:spacing w:after="100" w:line="32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המצא עותק מבקשה זו למשיב, וצרף אישור המצאה — כנדרש בתקנה 160 לתקנות.</w:t>
      </w:r>
    </w:p>
    <w:p>
      <w:pPr>
        <w:pStyle w:val="ListParagraph"/>
        <w:numPr>
          <w:ilvl w:val="0"/>
          <w:numId w:val="2"/>
        </w:numPr>
        <w:bidi/>
        <w:spacing w:after="100" w:line="32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ודא כי שם המבקש ומספר הזהות זהים לאלה שבכתבי בי-דין הקודמים בתיק.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•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2026-08-10T05:22:46.828Z</dcterms:created>
  <dcterms:modified xsi:type="dcterms:W3CDTF">2026-08-10T05:22:46.829Z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