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Pr>
          <w:p>
            <w:pPr>
              <w:bidi/>
              <w:jc w:val="start"/>
            </w:pPr>
            <w:r>
              <w:rPr>
                <w:rFonts w:ascii="David" w:cs="David" w:eastAsia="David" w:hAnsi="David"/>
                <w:b/>
                <w:bCs/>
                <w:sz w:val="26"/>
                <w:szCs w:val="26"/>
                <w:rtl/>
              </w:rPr>
              <w:t xml:space="preserve">בבית המשפט לענייני משפחה ב______________</w:t>
            </w:r>
          </w:p>
        </w:tc>
        <w:tc>
          <w:tcPr>
            <w:tcW w:type="dxa" w:w="4536"/>
            <w:tcBorders>
              <w:top w:val="none" w:color="FFFFFF" w:sz="0"/>
              <w:left w:val="none" w:color="FFFFFF" w:sz="0"/>
              <w:bottom w:val="none" w:color="FFFFFF" w:sz="0"/>
              <w:right w:val="none" w:color="FFFFFF" w:sz="0"/>
            </w:tcBorders>
          </w:tcPr>
          <w:p>
            <w:pPr>
              <w:bidi/>
              <w:jc w:val="end"/>
            </w:pPr>
            <w:r>
              <w:rPr>
                <w:rFonts w:ascii="David" w:cs="David" w:eastAsia="David" w:hAnsi="David"/>
                <w:b/>
                <w:bCs/>
                <w:sz w:val="26"/>
                <w:szCs w:val="26"/>
                <w:rtl/>
              </w:rPr>
              <w:t xml:space="preserve">מספר תיק: ______________</w:t>
            </w:r>
          </w:p>
        </w:tc>
      </w:tr>
    </w:tbl>
    <w:p>
      <w:pPr>
        <w:bidi/>
        <w:spacing w:after="200"/>
      </w:pPr>
      <w:r>
        <w:rPr>
          <w:rFonts w:ascii="David" w:cs="David" w:eastAsia="David" w:hAnsi="David"/>
          <w:b w:val="false"/>
          <w:bCs w:val="false"/>
          <w:sz w:val="24"/>
          <w:szCs w:val="24"/>
          <w:rtl/>
        </w:rPr>
        <w:t xml:space="preserve"/>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0"/>
        <w:gridCol w:w="7472"/>
      </w:tblGrid>
      <w:tr>
        <w:tc>
          <w:tcPr>
            <w:tcW w:type="dxa" w:w="1600"/>
            <w:tcBorders>
              <w:top w:val="none" w:color="FFFFFF" w:sz="0"/>
              <w:left w:val="none" w:color="FFFFFF" w:sz="0"/>
              <w:bottom w:val="none" w:color="FFFFFF" w:sz="0"/>
              <w:right w:val="none" w:color="FFFFFF" w:sz="0"/>
            </w:tcBorders>
            <w:tcMar>
              <w:top w:type="dxa" w:w="0"/>
              <w:left w:type="dxa" w:w="0"/>
              <w:bottom w:type="dxa" w:w="0"/>
              <w:right w:type="dxa" w:w="0"/>
            </w:tcMar>
          </w:tcPr>
          <w:p>
            <w:pPr>
              <w:bidi/>
              <w:spacing w:after="0"/>
              <w:jc w:val="start"/>
            </w:pPr>
            <w:r>
              <w:rPr>
                <w:rFonts w:ascii="David" w:cs="David" w:eastAsia="David" w:hAnsi="David"/>
                <w:b/>
                <w:bCs/>
                <w:sz w:val="24"/>
                <w:szCs w:val="24"/>
                <w:rtl/>
              </w:rPr>
              <w:t xml:space="preserve">המבקש:</w:t>
            </w:r>
          </w:p>
        </w:tc>
        <w:tc>
          <w:tcPr>
            <w:tcW w:type="dxa" w:w="7472"/>
            <w:tcBorders>
              <w:top w:val="none" w:color="FFFFFF" w:sz="0"/>
              <w:left w:val="none" w:color="FFFFFF" w:sz="0"/>
              <w:bottom w:val="none" w:color="FFFFFF" w:sz="0"/>
              <w:right w:val="none" w:color="FFFFFF" w:sz="0"/>
            </w:tcBorders>
            <w:tcMar>
              <w:top w:type="dxa" w:w="0"/>
              <w:left w:type="dxa" w:w="0"/>
              <w:bottom w:type="dxa" w:w="0"/>
              <w:right w:type="dxa" w:w="0"/>
            </w:tcMar>
          </w:tcPr>
          <w:p>
            <w:pPr>
              <w:bidi/>
              <w:spacing w:after="0"/>
              <w:jc w:val="start"/>
            </w:pPr>
            <w:r>
              <w:rPr>
                <w:rFonts w:ascii="David" w:cs="David" w:eastAsia="David" w:hAnsi="David"/>
                <w:b w:val="false"/>
                <w:bCs w:val="false"/>
                <w:sz w:val="24"/>
                <w:szCs w:val="24"/>
                <w:rtl/>
              </w:rPr>
              <w:t xml:space="preserve">______________ (שם מלא), ת.ז. ______________</w:t>
            </w:r>
          </w:p>
          <w:p>
            <w:pPr>
              <w:bidi/>
              <w:spacing w:after="0"/>
              <w:jc w:val="start"/>
            </w:pPr>
            <w:r>
              <w:rPr>
                <w:rFonts w:ascii="David" w:cs="David" w:eastAsia="David" w:hAnsi="David"/>
                <w:b w:val="false"/>
                <w:bCs w:val="false"/>
                <w:sz w:val="24"/>
                <w:szCs w:val="24"/>
                <w:rtl/>
              </w:rPr>
              <w:t xml:space="preserve">מרחוב ______________, ______________</w:t>
            </w:r>
          </w:p>
          <w:p>
            <w:pPr>
              <w:bidi/>
              <w:spacing w:after="0"/>
              <w:jc w:val="start"/>
            </w:pPr>
            <w:r>
              <w:rPr>
                <w:rFonts w:ascii="David" w:cs="David" w:eastAsia="David" w:hAnsi="David"/>
                <w:b w:val="false"/>
                <w:bCs w:val="false"/>
                <w:sz w:val="24"/>
                <w:szCs w:val="24"/>
                <w:rtl/>
              </w:rPr>
              <w:t xml:space="preserve">ע"י ב"כ עו"ד ______________, מ.ר. ______________</w:t>
            </w:r>
          </w:p>
          <w:p>
            <w:pPr>
              <w:bidi/>
              <w:spacing w:after="100"/>
              <w:jc w:val="start"/>
            </w:pPr>
            <w:r>
              <w:rPr>
                <w:rFonts w:ascii="David" w:cs="David" w:eastAsia="David" w:hAnsi="David"/>
                <w:b w:val="false"/>
                <w:bCs w:val="false"/>
                <w:sz w:val="24"/>
                <w:szCs w:val="24"/>
                <w:rtl/>
              </w:rPr>
              <w:t xml:space="preserve">מרחוב ______________ ; טל' ______________ ; דוא"ל ______________</w:t>
            </w:r>
          </w:p>
        </w:tc>
      </w:tr>
    </w:tbl>
    <w:p>
      <w:pPr>
        <w:bidi/>
        <w:spacing w:after="100" w:before="100"/>
        <w:jc w:val="center"/>
      </w:pPr>
      <w:r>
        <w:rPr>
          <w:rFonts w:ascii="David" w:cs="David" w:eastAsia="David" w:hAnsi="David"/>
          <w:b/>
          <w:bCs/>
          <w:sz w:val="24"/>
          <w:szCs w:val="24"/>
          <w:rtl/>
        </w:rPr>
        <w:t xml:space="preserve">- נ ג ד -</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0"/>
        <w:gridCol w:w="7472"/>
      </w:tblGrid>
      <w:tr>
        <w:tc>
          <w:tcPr>
            <w:tcW w:type="dxa" w:w="1600"/>
            <w:tcBorders>
              <w:top w:val="none" w:color="FFFFFF" w:sz="0"/>
              <w:left w:val="none" w:color="FFFFFF" w:sz="0"/>
              <w:bottom w:val="none" w:color="FFFFFF" w:sz="0"/>
              <w:right w:val="none" w:color="FFFFFF" w:sz="0"/>
            </w:tcBorders>
            <w:tcMar>
              <w:top w:type="dxa" w:w="0"/>
              <w:left w:type="dxa" w:w="0"/>
              <w:bottom w:type="dxa" w:w="0"/>
              <w:right w:type="dxa" w:w="0"/>
            </w:tcMar>
          </w:tcPr>
          <w:p>
            <w:pPr>
              <w:bidi/>
              <w:spacing w:after="0"/>
              <w:jc w:val="start"/>
            </w:pPr>
            <w:r>
              <w:rPr>
                <w:rFonts w:ascii="David" w:cs="David" w:eastAsia="David" w:hAnsi="David"/>
                <w:b/>
                <w:bCs/>
                <w:sz w:val="24"/>
                <w:szCs w:val="24"/>
                <w:rtl/>
              </w:rPr>
              <w:t xml:space="preserve">המשיב:</w:t>
            </w:r>
          </w:p>
        </w:tc>
        <w:tc>
          <w:tcPr>
            <w:tcW w:type="dxa" w:w="7472"/>
            <w:tcBorders>
              <w:top w:val="none" w:color="FFFFFF" w:sz="0"/>
              <w:left w:val="none" w:color="FFFFFF" w:sz="0"/>
              <w:bottom w:val="none" w:color="FFFFFF" w:sz="0"/>
              <w:right w:val="none" w:color="FFFFFF" w:sz="0"/>
            </w:tcBorders>
            <w:tcMar>
              <w:top w:type="dxa" w:w="0"/>
              <w:left w:type="dxa" w:w="0"/>
              <w:bottom w:type="dxa" w:w="0"/>
              <w:right w:type="dxa" w:w="0"/>
            </w:tcMar>
          </w:tcPr>
          <w:p>
            <w:pPr>
              <w:bidi/>
              <w:spacing w:after="0"/>
              <w:jc w:val="start"/>
            </w:pPr>
            <w:r>
              <w:rPr>
                <w:rFonts w:ascii="David" w:cs="David" w:eastAsia="David" w:hAnsi="David"/>
                <w:b w:val="false"/>
                <w:bCs w:val="false"/>
                <w:sz w:val="24"/>
                <w:szCs w:val="24"/>
                <w:rtl/>
              </w:rPr>
              <w:t xml:space="preserve">המוסד לביטוח לאומי</w:t>
            </w:r>
          </w:p>
          <w:p>
            <w:pPr>
              <w:bidi/>
              <w:spacing w:after="100"/>
              <w:jc w:val="start"/>
            </w:pPr>
            <w:r>
              <w:rPr>
                <w:rFonts w:ascii="David" w:cs="David" w:eastAsia="David" w:hAnsi="David"/>
                <w:b w:val="false"/>
                <w:bCs w:val="false"/>
                <w:sz w:val="24"/>
                <w:szCs w:val="24"/>
                <w:rtl/>
              </w:rPr>
              <w:t xml:space="preserve">באמצעות סניף כפר סבא, רח' ______________, כפר סבא</w:t>
            </w:r>
          </w:p>
        </w:tc>
      </w:tr>
    </w:tbl>
    <w:p>
      <w:pPr>
        <w:bidi/>
        <w:spacing w:after="120" w:before="360"/>
        <w:jc w:val="center"/>
      </w:pPr>
      <w:r>
        <w:rPr>
          <w:rFonts w:ascii="David" w:cs="David" w:eastAsia="David" w:hAnsi="David"/>
          <w:b/>
          <w:bCs/>
          <w:sz w:val="30"/>
          <w:szCs w:val="30"/>
          <w:u w:val="single"/>
          <w:rtl/>
        </w:rPr>
        <w:t xml:space="preserve">בקשה למתן החלטה</w:t>
      </w:r>
    </w:p>
    <w:p>
      <w:pPr>
        <w:bidi/>
        <w:spacing w:after="260"/>
        <w:jc w:val="center"/>
      </w:pPr>
      <w:r>
        <w:rPr>
          <w:rFonts w:ascii="David" w:cs="David" w:eastAsia="David" w:hAnsi="David"/>
          <w:b w:val="false"/>
          <w:bCs w:val="false"/>
          <w:sz w:val="22"/>
          <w:szCs w:val="22"/>
          <w:rtl/>
        </w:rPr>
        <w:t xml:space="preserve">(בהיעדר תגובת המשיב, חרף שתי המצאות כדין)</w:t>
      </w:r>
    </w:p>
    <w:p>
      <w:pPr>
        <w:bidi/>
        <w:spacing w:after="60" w:before="0" w:line="360" w:lineRule="auto"/>
        <w:jc w:val="both"/>
      </w:pPr>
      <w:r>
        <w:rPr>
          <w:rFonts w:ascii="David" w:cs="David" w:eastAsia="David" w:hAnsi="David"/>
          <w:b w:val="false"/>
          <w:bCs w:val="false"/>
          <w:sz w:val="24"/>
          <w:szCs w:val="24"/>
          <w:rtl/>
        </w:rPr>
        <w:t xml:space="preserve">בית המשפט הנכבד מתבקש בזאת ליתן החלטה בבקשת המבקש מיום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(להלן: "</w:t>
      </w:r>
      <w:r>
        <w:rPr>
          <w:rFonts w:ascii="David" w:cs="David" w:eastAsia="David" w:hAnsi="David"/>
          <w:b/>
          <w:bCs/>
          <w:sz w:val="24"/>
          <w:szCs w:val="24"/>
          <w:rtl/>
        </w:rPr>
        <w:t xml:space="preserve">הבקשה</w:t>
      </w:r>
      <w:r>
        <w:rPr>
          <w:rFonts w:ascii="David" w:cs="David" w:eastAsia="David" w:hAnsi="David"/>
          <w:b w:val="false"/>
          <w:bCs w:val="false"/>
          <w:sz w:val="24"/>
          <w:szCs w:val="24"/>
          <w:rtl/>
        </w:rPr>
        <w:t xml:space="preserve">"), וזאת משהמשיב לא הגיש לה תגובה כלשהי — חרף שתי המצאות כדין של כתב בי-דין ושל החלטת בית המשפט הנכבד, וחרף שאישורי המסירה בגין שתיהן הוגשו לתיק בית המשפט; ואלה נימוקי הבקשה:</w:t>
      </w:r>
    </w:p>
    <w:p>
      <w:pPr>
        <w:bidi/>
        <w:spacing w:after="140" w:before="280" w:line="360" w:lineRule="auto"/>
        <w:jc w:val="start"/>
      </w:pPr>
      <w:r>
        <w:rPr>
          <w:rFonts w:ascii="David" w:cs="David" w:eastAsia="David" w:hAnsi="David"/>
          <w:b/>
          <w:bCs/>
          <w:sz w:val="26"/>
          <w:szCs w:val="26"/>
          <w:u w:val="single"/>
          <w:rtl/>
        </w:rPr>
        <w:t xml:space="preserve">א. רקע — הבקשה וההחלטה</w:t>
      </w:r>
    </w:p>
    <w:p>
      <w:pPr>
        <w:pStyle w:val="ListParagraph"/>
        <w:numPr>
          <w:ilvl w:val="0"/>
          <w:numId w:val="2"/>
        </w:numPr>
        <w:bidi/>
        <w:spacing w:after="140" w:before="0" w:line="360" w:lineRule="auto"/>
        <w:jc w:val="both"/>
      </w:pPr>
      <w:r>
        <w:rPr>
          <w:rFonts w:ascii="David" w:cs="David" w:eastAsia="David" w:hAnsi="David"/>
          <w:b w:val="false"/>
          <w:bCs w:val="false"/>
          <w:sz w:val="24"/>
          <w:szCs w:val="24"/>
          <w:rtl/>
        </w:rPr>
        <w:t xml:space="preserve">ביום ______________ הגיש המבקש את הבקשה שבכותרת.</w:t>
      </w:r>
    </w:p>
    <w:p>
      <w:pPr>
        <w:pStyle w:val="ListParagraph"/>
        <w:numPr>
          <w:ilvl w:val="0"/>
          <w:numId w:val="2"/>
        </w:numPr>
        <w:bidi/>
        <w:spacing w:after="140" w:before="0" w:line="360" w:lineRule="auto"/>
        <w:jc w:val="both"/>
      </w:pPr>
      <w:r>
        <w:rPr>
          <w:rFonts w:ascii="David" w:cs="David" w:eastAsia="David" w:hAnsi="David"/>
          <w:b w:val="false"/>
          <w:bCs w:val="false"/>
          <w:sz w:val="24"/>
          <w:szCs w:val="24"/>
          <w:rtl/>
        </w:rPr>
        <w:t xml:space="preserve">ביום ______________ נתן בית המשפט הנכבד החלטה, ולפיה נדרש המשיב להגיב לבקשה בתוך ______________ ימים (להלן: "</w:t>
      </w:r>
      <w:r>
        <w:rPr>
          <w:rFonts w:ascii="David" w:cs="David" w:eastAsia="David" w:hAnsi="David"/>
          <w:b/>
          <w:bCs/>
          <w:sz w:val="24"/>
          <w:szCs w:val="24"/>
          <w:rtl/>
        </w:rPr>
        <w:t xml:space="preserve">ההחלטה</w:t>
      </w:r>
      <w:r>
        <w:rPr>
          <w:rFonts w:ascii="David" w:cs="David" w:eastAsia="David" w:hAnsi="David"/>
          <w:b w:val="false"/>
          <w:bCs w:val="false"/>
          <w:sz w:val="24"/>
          <w:szCs w:val="24"/>
          <w:rtl/>
        </w:rPr>
        <w:t xml:space="preserve">").</w:t>
      </w:r>
    </w:p>
    <w:p>
      <w:pPr>
        <w:pStyle w:val="ListParagraph"/>
        <w:numPr>
          <w:ilvl w:val="0"/>
          <w:numId w:val="2"/>
        </w:numPr>
        <w:bidi/>
        <w:spacing w:after="140" w:before="0" w:line="360" w:lineRule="auto"/>
        <w:jc w:val="both"/>
      </w:pPr>
      <w:r>
        <w:rPr>
          <w:rFonts w:ascii="David" w:cs="David" w:eastAsia="David" w:hAnsi="David"/>
          <w:b w:val="false"/>
          <w:bCs w:val="false"/>
          <w:sz w:val="24"/>
          <w:szCs w:val="24"/>
          <w:rtl/>
        </w:rPr>
        <w:t xml:space="preserve">כתב בי-דין וההחלטה הומצאו למשיב פעמיים, בשתי דרכים נפרדות, כמפורט להלן.</w:t>
      </w:r>
    </w:p>
    <w:p>
      <w:pPr>
        <w:bidi/>
        <w:spacing w:after="140" w:before="280" w:line="360" w:lineRule="auto"/>
        <w:jc w:val="start"/>
      </w:pPr>
      <w:r>
        <w:rPr>
          <w:rFonts w:ascii="David" w:cs="David" w:eastAsia="David" w:hAnsi="David"/>
          <w:b/>
          <w:bCs/>
          <w:sz w:val="26"/>
          <w:szCs w:val="26"/>
          <w:u w:val="single"/>
          <w:rtl/>
        </w:rPr>
        <w:t xml:space="preserve">ב. ההמצאות שבוצעו כדין</w:t>
      </w:r>
    </w:p>
    <w:p>
      <w:pPr>
        <w:pStyle w:val="ListParagraph"/>
        <w:numPr>
          <w:ilvl w:val="0"/>
          <w:numId w:val="2"/>
        </w:numPr>
        <w:bidi/>
        <w:spacing w:after="140" w:before="0" w:line="360" w:lineRule="auto"/>
        <w:jc w:val="both"/>
      </w:pPr>
      <w:r>
        <w:rPr>
          <w:rFonts w:ascii="David" w:cs="David" w:eastAsia="David" w:hAnsi="David"/>
          <w:b/>
          <w:bCs/>
          <w:sz w:val="24"/>
          <w:szCs w:val="24"/>
          <w:rtl/>
        </w:rPr>
        <w:t xml:space="preserve">המצאה ראשונה — </w:t>
      </w:r>
      <w:r>
        <w:rPr>
          <w:rFonts w:ascii="David" w:cs="David" w:eastAsia="David" w:hAnsi="David"/>
          <w:b w:val="false"/>
          <w:bCs w:val="false"/>
          <w:sz w:val="24"/>
          <w:szCs w:val="24"/>
          <w:rtl/>
        </w:rPr>
        <w:t xml:space="preserve">ביום 21.7.2026 הומצאו למשיב כתב בי-דין וההחלטה באמצעות מערכת מסירת המסמכים המקוונת שבאתר המוסד לביטוח לאומי. הח"מ קיבל אישור על ביצוע המסירה, ואישור זה הוצג לבית המשפט הנכבד.</w:t>
      </w:r>
    </w:p>
    <w:p>
      <w:pPr>
        <w:pStyle w:val="ListParagraph"/>
        <w:numPr>
          <w:ilvl w:val="0"/>
          <w:numId w:val="2"/>
        </w:numPr>
        <w:bidi/>
        <w:spacing w:after="140" w:before="0" w:line="360" w:lineRule="auto"/>
        <w:jc w:val="both"/>
      </w:pPr>
      <w:r>
        <w:rPr>
          <w:rFonts w:ascii="David" w:cs="David" w:eastAsia="David" w:hAnsi="David"/>
          <w:b/>
          <w:bCs/>
          <w:sz w:val="24"/>
          <w:szCs w:val="24"/>
          <w:rtl/>
        </w:rPr>
        <w:t xml:space="preserve">המצאה שנייה — </w:t>
      </w:r>
      <w:r>
        <w:rPr>
          <w:rFonts w:ascii="David" w:cs="David" w:eastAsia="David" w:hAnsi="David"/>
          <w:b w:val="false"/>
          <w:bCs w:val="false"/>
          <w:sz w:val="24"/>
          <w:szCs w:val="24"/>
          <w:rtl/>
        </w:rPr>
        <w:t xml:space="preserve">משלא התקבלה כל תגובה, ולמעלה מן הנדרש, מסר הח"מ ביום 4.8.2026 את כתב בי-דין ואת ההחלטה באופן אישי בסניף המשיב בכפר סבא. אף אישור מסירה זה נמסר לבית המשפט הנכבד.</w:t>
      </w:r>
    </w:p>
    <w:p>
      <w:pPr>
        <w:pStyle w:val="ListParagraph"/>
        <w:numPr>
          <w:ilvl w:val="0"/>
          <w:numId w:val="2"/>
        </w:numPr>
        <w:bidi/>
        <w:spacing w:after="140" w:before="0" w:line="360" w:lineRule="auto"/>
        <w:jc w:val="both"/>
      </w:pPr>
      <w:r>
        <w:rPr>
          <w:rFonts w:ascii="David" w:cs="David" w:eastAsia="David" w:hAnsi="David"/>
          <w:b w:val="false"/>
          <w:bCs w:val="false"/>
          <w:sz w:val="24"/>
          <w:szCs w:val="24"/>
          <w:rtl/>
        </w:rPr>
        <w:t xml:space="preserve">ההמצאה השנייה עולה כדי המצאה במסירה אישית כמשמעה בתקנה 161(4)(א) לתקנות סדר הדין האזרחי, התשע"ט–2018, שכן היא בוצעה בידי עורך דין; ומועד ההמצאה הוא המועד הנקוב בהודעת אימות המסירה.</w:t>
      </w:r>
    </w:p>
    <w:p>
      <w:pPr>
        <w:pStyle w:val="ListParagraph"/>
        <w:numPr>
          <w:ilvl w:val="0"/>
          <w:numId w:val="2"/>
        </w:numPr>
        <w:bidi/>
        <w:spacing w:after="140" w:before="0" w:line="360" w:lineRule="auto"/>
        <w:jc w:val="both"/>
      </w:pPr>
      <w:r>
        <w:rPr>
          <w:rFonts w:ascii="David" w:cs="David" w:eastAsia="David" w:hAnsi="David"/>
          <w:b w:val="false"/>
          <w:bCs w:val="false"/>
          <w:sz w:val="24"/>
          <w:szCs w:val="24"/>
          <w:rtl/>
        </w:rPr>
        <w:t xml:space="preserve">משהומצאו המסמכים כדין, רואים את המשיב כמי שיודע את תוכנם (תקנה 158(ב) לתקנות). מכל מקום, ולגופם של דברים, מטרת ההמצאה — הבאת תוכן המסמך לידיעת הנמען (תקנה 158(א) לתקנות) — הושגה במלואה, פעמיים, ובשתי דרכים שונות; ומשכך אין ולא יכולה להיות למשיב טענה כי דבר ההליך, הבקשה וההחלטה לא הובאו לידיעתו.</w:t>
      </w:r>
    </w:p>
    <w:p>
      <w:pPr>
        <w:pStyle w:val="ListParagraph"/>
        <w:numPr>
          <w:ilvl w:val="0"/>
          <w:numId w:val="2"/>
        </w:numPr>
        <w:bidi/>
        <w:spacing w:after="140" w:before="0" w:line="360" w:lineRule="auto"/>
        <w:jc w:val="both"/>
      </w:pPr>
      <w:r>
        <w:rPr>
          <w:rFonts w:ascii="David" w:cs="David" w:eastAsia="David" w:hAnsi="David"/>
          <w:b w:val="false"/>
          <w:bCs w:val="false"/>
          <w:sz w:val="24"/>
          <w:szCs w:val="24"/>
          <w:rtl/>
        </w:rPr>
        <w:t xml:space="preserve">העובדות המפורטות בבקשה זו נסמכות על אישורי המסירה ועל כתבי בי-דין המצויים בתיק בית המשפט, ומשכך אין הן טעונות אימות בתצהיר.</w:t>
      </w:r>
    </w:p>
    <w:p>
      <w:pPr>
        <w:bidi/>
        <w:spacing w:after="140" w:before="280" w:line="360" w:lineRule="auto"/>
        <w:jc w:val="start"/>
      </w:pPr>
      <w:r>
        <w:rPr>
          <w:rFonts w:ascii="David" w:cs="David" w:eastAsia="David" w:hAnsi="David"/>
          <w:b/>
          <w:bCs/>
          <w:sz w:val="26"/>
          <w:szCs w:val="26"/>
          <w:u w:val="single"/>
          <w:rtl/>
        </w:rPr>
        <w:t xml:space="preserve">ג. מחדלו של המשיב</w:t>
      </w:r>
    </w:p>
    <w:p>
      <w:pPr>
        <w:pStyle w:val="ListParagraph"/>
        <w:numPr>
          <w:ilvl w:val="0"/>
          <w:numId w:val="2"/>
        </w:numPr>
        <w:bidi/>
        <w:spacing w:after="140" w:before="0" w:line="360" w:lineRule="auto"/>
        <w:jc w:val="both"/>
      </w:pPr>
      <w:r>
        <w:rPr>
          <w:rFonts w:ascii="David" w:cs="David" w:eastAsia="David" w:hAnsi="David"/>
          <w:b w:val="false"/>
          <w:bCs w:val="false"/>
          <w:sz w:val="24"/>
          <w:szCs w:val="24"/>
          <w:rtl/>
        </w:rPr>
        <w:t xml:space="preserve">חרף כל האמור, ובחלוף כשלושה שבועות ממועד ההמצאה הראשונה וכשבוע ממועד ההמצאה השנייה, לא הגיש המשיב תגובה כלשהי לבקשה.</w:t>
      </w:r>
    </w:p>
    <w:p>
      <w:pPr>
        <w:pStyle w:val="ListParagraph"/>
        <w:numPr>
          <w:ilvl w:val="0"/>
          <w:numId w:val="2"/>
        </w:numPr>
        <w:bidi/>
        <w:spacing w:after="140" w:before="0" w:line="360" w:lineRule="auto"/>
        <w:jc w:val="both"/>
      </w:pPr>
      <w:r>
        <w:rPr>
          <w:rFonts w:ascii="David" w:cs="David" w:eastAsia="David" w:hAnsi="David"/>
          <w:b w:val="false"/>
          <w:bCs w:val="false"/>
          <w:sz w:val="24"/>
          <w:szCs w:val="24"/>
          <w:rtl/>
        </w:rPr>
        <w:t xml:space="preserve">המשיב אף לא ביקש הארכת מועד להגשת תגובתו, לא הודיע כי בכוונתו להגיב, ולא פנה בעניין זה לבית המשפט הנכבד או לח"מ — לא בכתב ולא בעל פה.</w:t>
      </w:r>
    </w:p>
    <w:p>
      <w:pPr>
        <w:pStyle w:val="ListParagraph"/>
        <w:numPr>
          <w:ilvl w:val="0"/>
          <w:numId w:val="2"/>
        </w:numPr>
        <w:bidi/>
        <w:spacing w:after="140" w:before="0" w:line="360" w:lineRule="auto"/>
        <w:jc w:val="both"/>
      </w:pPr>
      <w:r>
        <w:rPr>
          <w:rFonts w:ascii="David" w:cs="David" w:eastAsia="David" w:hAnsi="David"/>
          <w:b w:val="false"/>
          <w:bCs w:val="false"/>
          <w:sz w:val="24"/>
          <w:szCs w:val="24"/>
          <w:rtl/>
        </w:rPr>
        <w:t xml:space="preserve">אין המדובר, אפוא, בשתיקתו של מי שלא ידע על ההליך, כי אם במחדל מתמשך של בעל דין שההליך וההחלטה הובאו לידיעתו כדין, פעמיים, והוא בחר שלא להגיב.</w:t>
      </w:r>
    </w:p>
    <w:p>
      <w:pPr>
        <w:pStyle w:val="ListParagraph"/>
        <w:numPr>
          <w:ilvl w:val="0"/>
          <w:numId w:val="2"/>
        </w:numPr>
        <w:bidi/>
        <w:spacing w:after="140" w:before="0" w:line="360" w:lineRule="auto"/>
        <w:jc w:val="both"/>
      </w:pPr>
      <w:r>
        <w:rPr>
          <w:rFonts w:ascii="David" w:cs="David" w:eastAsia="David" w:hAnsi="David"/>
          <w:b w:val="false"/>
          <w:bCs w:val="false"/>
          <w:sz w:val="24"/>
          <w:szCs w:val="24"/>
          <w:rtl/>
        </w:rPr>
        <w:t xml:space="preserve">התמשכות המצב הקיים פוגעת במבקש, מעכבת שלא לצורך את בירור עניינו, ומסכלת את היעילות הדיונית שבבסיס תקנות סדר הדין האזרחי. למבקש אין כל דרך לקדם את ההליך זולת פנייה זו.</w:t>
      </w:r>
    </w:p>
    <w:p>
      <w:pPr>
        <w:bidi/>
        <w:spacing w:after="140" w:before="280" w:line="360" w:lineRule="auto"/>
        <w:jc w:val="start"/>
      </w:pPr>
      <w:r>
        <w:rPr>
          <w:rFonts w:ascii="David" w:cs="David" w:eastAsia="David" w:hAnsi="David"/>
          <w:b/>
          <w:bCs/>
          <w:sz w:val="26"/>
          <w:szCs w:val="26"/>
          <w:u w:val="single"/>
          <w:rtl/>
        </w:rPr>
        <w:t xml:space="preserve">ד. המסגרת הנורמטיבית</w:t>
      </w:r>
    </w:p>
    <w:p>
      <w:pPr>
        <w:pStyle w:val="ListParagraph"/>
        <w:numPr>
          <w:ilvl w:val="0"/>
          <w:numId w:val="2"/>
        </w:numPr>
        <w:bidi/>
        <w:spacing w:after="140" w:before="0" w:line="360" w:lineRule="auto"/>
        <w:jc w:val="both"/>
      </w:pPr>
      <w:r>
        <w:rPr>
          <w:rFonts w:ascii="David" w:cs="David" w:eastAsia="David" w:hAnsi="David"/>
          <w:b w:val="false"/>
          <w:bCs w:val="false"/>
          <w:sz w:val="24"/>
          <w:szCs w:val="24"/>
          <w:rtl/>
        </w:rPr>
        <w:t xml:space="preserve">תקנה 50(3) לתקנות קובעת כי משהחליט בית המשפט שהבקשה מצריכה תשובה, רשאי המשיב להשיב לה בתוך עשרים ימים מיום שהומצאה לו ההחלטה, או בתוך מועד אחר שהורה בית המשפט. המשיב לא עשה כן.</w:t>
      </w:r>
    </w:p>
    <w:p>
      <w:pPr>
        <w:pStyle w:val="ListParagraph"/>
        <w:numPr>
          <w:ilvl w:val="0"/>
          <w:numId w:val="2"/>
        </w:numPr>
        <w:bidi/>
        <w:spacing w:after="140" w:before="0" w:line="360" w:lineRule="auto"/>
        <w:jc w:val="both"/>
      </w:pPr>
      <w:r>
        <w:rPr>
          <w:rFonts w:ascii="David" w:cs="David" w:eastAsia="David" w:hAnsi="David"/>
          <w:b w:val="false"/>
          <w:bCs w:val="false"/>
          <w:sz w:val="24"/>
          <w:szCs w:val="24"/>
          <w:rtl/>
        </w:rPr>
        <w:t xml:space="preserve">תקנה 50(4) לתקנות מסמיכה את בית המשפט להחליט בבקשה על יסוד הבקשה והתשובות בלבד. משלא הוגשה תשובה כלל, רשאי בית המשפט הנכבד ליתן החלטה על יסוד הבקשה לבדה.</w:t>
      </w:r>
    </w:p>
    <w:p>
      <w:pPr>
        <w:pStyle w:val="ListParagraph"/>
        <w:numPr>
          <w:ilvl w:val="0"/>
          <w:numId w:val="2"/>
        </w:numPr>
        <w:bidi/>
        <w:spacing w:after="140" w:before="0" w:line="360" w:lineRule="auto"/>
        <w:jc w:val="both"/>
      </w:pPr>
      <w:r>
        <w:rPr>
          <w:rFonts w:ascii="David" w:cs="David" w:eastAsia="David" w:hAnsi="David"/>
          <w:b w:val="false"/>
          <w:bCs w:val="false"/>
          <w:sz w:val="24"/>
          <w:szCs w:val="24"/>
          <w:rtl/>
        </w:rPr>
        <w:t xml:space="preserve">אשר לתקופת פגרת הקיץ (21.7.2026 – 5.9.2026) — </w:t>
      </w:r>
      <w:r>
        <w:rPr>
          <w:rFonts w:ascii="David" w:cs="David" w:eastAsia="David" w:hAnsi="David"/>
          <w:b/>
          <w:bCs/>
          <w:sz w:val="24"/>
          <w:szCs w:val="24"/>
          <w:rtl/>
        </w:rPr>
        <w:t xml:space="preserve">[חלופה א']</w:t>
      </w:r>
      <w:r>
        <w:rPr>
          <w:rFonts w:ascii="David" w:cs="David" w:eastAsia="David" w:hAnsi="David"/>
          <w:b w:val="false"/>
          <w:bCs w:val="false"/>
          <w:sz w:val="24"/>
          <w:szCs w:val="24"/>
          <w:rtl/>
        </w:rPr>
        <w:t xml:space="preserve"> בהחלטת בית המשפט הנכבד מיום ______________ נקבע כי ימי הפגרה יבואו במניין הימים, ומשכך חלף המועד שנקצב למשיב להגשת תגובתו. </w:t>
      </w:r>
      <w:r>
        <w:rPr>
          <w:rFonts w:ascii="David" w:cs="David" w:eastAsia="David" w:hAnsi="David"/>
          <w:b/>
          <w:bCs/>
          <w:sz w:val="24"/>
          <w:szCs w:val="24"/>
          <w:rtl/>
        </w:rPr>
        <w:t xml:space="preserve">[חלופה ב']</w:t>
      </w:r>
      <w:r>
        <w:rPr>
          <w:rFonts w:ascii="David" w:cs="David" w:eastAsia="David" w:hAnsi="David"/>
          <w:b w:val="false"/>
          <w:bCs w:val="false"/>
          <w:sz w:val="24"/>
          <w:szCs w:val="24"/>
          <w:rtl/>
        </w:rPr>
        <w:t xml:space="preserve"> אף אם ימי הפגרה אינם באים במניין לפי תקנה 179(ב) לתקנות, אין בכך כדי לרפא את מחדלו של המשיב, אשר לא נקט פעולה כלשהי — ולו בקשת הארכת מועד — במשך כשלושה שבועות ממועד ההמצאה הראשונה; ולמצער מתבקש בית המשפט הנכבד לקצוב למשיב מועד קצר וסופי להגשת תגובתו. </w:t>
      </w:r>
      <w:r>
        <w:rPr>
          <w:rFonts w:ascii="David" w:cs="David" w:eastAsia="David" w:hAnsi="David"/>
          <w:b w:val="false"/>
          <w:bCs w:val="false"/>
          <w:sz w:val="20"/>
          <w:szCs w:val="20"/>
          <w:rtl/>
        </w:rPr>
        <w:t xml:space="preserve">(יש למחוק את החלופה שאינה רלוונטית)</w:t>
      </w:r>
    </w:p>
    <w:p>
      <w:pPr>
        <w:bidi/>
        <w:spacing w:after="140" w:before="280" w:line="360" w:lineRule="auto"/>
        <w:jc w:val="start"/>
      </w:pPr>
      <w:r>
        <w:rPr>
          <w:rFonts w:ascii="David" w:cs="David" w:eastAsia="David" w:hAnsi="David"/>
          <w:b/>
          <w:bCs/>
          <w:sz w:val="26"/>
          <w:szCs w:val="26"/>
          <w:u w:val="single"/>
          <w:rtl/>
        </w:rPr>
        <w:t xml:space="preserve">ה. הסעד המבוקש</w:t>
      </w:r>
    </w:p>
    <w:p>
      <w:pPr>
        <w:bidi/>
        <w:spacing w:after="140" w:before="0" w:line="360" w:lineRule="auto"/>
        <w:jc w:val="both"/>
      </w:pPr>
      <w:r>
        <w:rPr>
          <w:rFonts w:ascii="David" w:cs="David" w:eastAsia="David" w:hAnsi="David"/>
          <w:b w:val="false"/>
          <w:bCs w:val="false"/>
          <w:sz w:val="24"/>
          <w:szCs w:val="24"/>
          <w:rtl/>
        </w:rPr>
        <w:t xml:space="preserve">אשר על כן, מתבקש בית המשפט הנכבד:</w:t>
      </w:r>
    </w:p>
    <w:p>
      <w:pPr>
        <w:bidi/>
        <w:spacing w:after="120" w:before="0" w:line="360" w:lineRule="auto"/>
        <w:ind w:left="360" w:hanging="360"/>
        <w:jc w:val="both"/>
      </w:pPr>
      <w:r>
        <w:rPr>
          <w:rFonts w:ascii="David" w:cs="David" w:eastAsia="David" w:hAnsi="David"/>
          <w:b/>
          <w:bCs/>
          <w:sz w:val="24"/>
          <w:szCs w:val="24"/>
          <w:rtl/>
        </w:rPr>
        <w:t xml:space="preserve">א.	</w:t>
      </w:r>
      <w:r>
        <w:rPr>
          <w:rFonts w:ascii="David" w:cs="David" w:eastAsia="David" w:hAnsi="David"/>
          <w:b w:val="false"/>
          <w:bCs w:val="false"/>
          <w:sz w:val="24"/>
          <w:szCs w:val="24"/>
          <w:rtl/>
        </w:rPr>
        <w:t xml:space="preserve">לקבל את בקשת המבקש מיום ______________ וליתן החלטה כמבוקש בה, על יסוד הבקשה בלבד ובהיעדר תגובת המשיב.</w:t>
      </w:r>
    </w:p>
    <w:p>
      <w:pPr>
        <w:bidi/>
        <w:spacing w:after="120" w:before="0" w:line="360" w:lineRule="auto"/>
        <w:ind w:left="360" w:hanging="360"/>
        <w:jc w:val="both"/>
      </w:pPr>
      <w:r>
        <w:rPr>
          <w:rFonts w:ascii="David" w:cs="David" w:eastAsia="David" w:hAnsi="David"/>
          <w:b/>
          <w:bCs/>
          <w:sz w:val="24"/>
          <w:szCs w:val="24"/>
          <w:rtl/>
        </w:rPr>
        <w:t xml:space="preserve">ב.	</w:t>
      </w:r>
      <w:r>
        <w:rPr>
          <w:rFonts w:ascii="David" w:cs="David" w:eastAsia="David" w:hAnsi="David"/>
          <w:b w:val="false"/>
          <w:bCs w:val="false"/>
          <w:sz w:val="24"/>
          <w:szCs w:val="24"/>
          <w:rtl/>
        </w:rPr>
        <w:t xml:space="preserve">לחלופין — להורות למשיב להגיש את תגובתו בתוך ______________ ימים, ולקבוע כי אם לא יעשה כן תינתן החלטה בבקשה על יסוד הבקשה בלבד.</w:t>
      </w:r>
    </w:p>
    <w:p>
      <w:pPr>
        <w:bidi/>
        <w:spacing w:after="120" w:before="0" w:line="360" w:lineRule="auto"/>
        <w:ind w:left="360" w:hanging="360"/>
        <w:jc w:val="both"/>
      </w:pPr>
      <w:r>
        <w:rPr>
          <w:rFonts w:ascii="David" w:cs="David" w:eastAsia="David" w:hAnsi="David"/>
          <w:b/>
          <w:bCs/>
          <w:sz w:val="24"/>
          <w:szCs w:val="24"/>
          <w:rtl/>
        </w:rPr>
        <w:t xml:space="preserve">ג.	</w:t>
      </w:r>
      <w:r>
        <w:rPr>
          <w:rFonts w:ascii="David" w:cs="David" w:eastAsia="David" w:hAnsi="David"/>
          <w:b w:val="false"/>
          <w:bCs w:val="false"/>
          <w:sz w:val="24"/>
          <w:szCs w:val="24"/>
          <w:rtl/>
        </w:rPr>
        <w:t xml:space="preserve">לחייב את המשיב בהוצאות בקשה זו, שנדרשה אך בשל מחדלו (תקנה 53 לתקנות).</w:t>
      </w:r>
    </w:p>
    <w:p>
      <w:pPr>
        <w:bidi/>
        <w:spacing w:after="320"/>
      </w:pPr>
      <w:r>
        <w:rPr>
          <w:rFonts w:ascii="David" w:cs="David" w:eastAsia="David" w:hAnsi="David"/>
          <w:b w:val="false"/>
          <w:bCs w:val="false"/>
          <w:sz w:val="24"/>
          <w:szCs w:val="24"/>
          <w:rtl/>
        </w:rPr>
        <w:t xml:space="preserve"/>
      </w:r>
    </w:p>
    <w:p>
      <w:pPr>
        <w:bidi/>
        <w:spacing w:after="300" w:before="0" w:line="360" w:lineRule="auto"/>
        <w:jc w:val="start"/>
      </w:pPr>
      <w:r>
        <w:rPr>
          <w:rFonts w:ascii="David" w:cs="David" w:eastAsia="David" w:hAnsi="David"/>
          <w:b w:val="false"/>
          <w:bCs w:val="false"/>
          <w:sz w:val="24"/>
          <w:szCs w:val="24"/>
          <w:rtl/>
        </w:rPr>
        <w:t xml:space="preserve">תאריך: ______________</w:t>
      </w:r>
    </w:p>
    <w:p>
      <w:pPr>
        <w:bidi/>
        <w:spacing w:after="0"/>
        <w:jc w:val="end"/>
      </w:pPr>
      <w:r>
        <w:rPr>
          <w:rFonts w:ascii="David" w:cs="David" w:eastAsia="David" w:hAnsi="David"/>
          <w:b w:val="false"/>
          <w:bCs w:val="false"/>
          <w:sz w:val="24"/>
          <w:szCs w:val="24"/>
          <w:rtl/>
        </w:rPr>
        <w:t xml:space="preserve">_______________________</w:t>
      </w:r>
    </w:p>
    <w:p>
      <w:pPr>
        <w:bidi/>
        <w:spacing w:after="0"/>
        <w:jc w:val="end"/>
      </w:pPr>
      <w:r>
        <w:rPr>
          <w:rFonts w:ascii="David" w:cs="David" w:eastAsia="David" w:hAnsi="David"/>
          <w:b w:val="false"/>
          <w:bCs w:val="false"/>
          <w:sz w:val="24"/>
          <w:szCs w:val="24"/>
          <w:rtl/>
        </w:rPr>
        <w:t xml:space="preserve">______________, עו"ד</w:t>
      </w:r>
    </w:p>
    <w:p>
      <w:pPr>
        <w:bidi/>
        <w:jc w:val="end"/>
      </w:pPr>
      <w:r>
        <w:rPr>
          <w:rFonts w:ascii="David" w:cs="David" w:eastAsia="David" w:hAnsi="David"/>
          <w:b w:val="false"/>
          <w:bCs w:val="false"/>
          <w:sz w:val="24"/>
          <w:szCs w:val="24"/>
          <w:rtl/>
        </w:rPr>
        <w:t xml:space="preserve">ב"כ המבקש</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2026-08-10T05:22:46.639Z</dcterms:created>
  <dcterms:modified xsi:type="dcterms:W3CDTF">2026-08-10T05:22:46.639Z</dcterms:modified>
</cp:coreProperties>
</file>

<file path=docProps/custom.xml><?xml version="1.0" encoding="utf-8"?>
<Properties xmlns="http://schemas.openxmlformats.org/officeDocument/2006/custom-properties" xmlns:vt="http://schemas.openxmlformats.org/officeDocument/2006/docPropsVTypes"/>
</file>