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start"/>
            </w:pPr>
            <w:r>
              <w:rPr>
                <w:rFonts w:ascii="David" w:cs="David" w:eastAsia="David" w:hAnsi="David"/>
                <w:b/>
                <w:bCs/>
                <w:i w:val="false"/>
                <w:iCs w:val="false"/>
                <w:sz w:val="26"/>
                <w:szCs w:val="26"/>
                <w:rtl/>
              </w:rPr>
              <w:t xml:space="preserve">בבית משפט השלום בפתח תקווה</w:t>
            </w:r>
          </w:p>
        </w:tc>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6"/>
                <w:szCs w:val="26"/>
                <w:rtl/>
              </w:rPr>
              <w:t xml:space="preserve">ת"א ______________</w:t>
            </w:r>
          </w:p>
        </w:tc>
      </w:tr>
    </w:tbl>
    <w:p>
      <w:pPr>
        <w:bidi/>
        <w:spacing w:after="120" w:before="0" w:line="360" w:lineRule="auto"/>
        <w:jc w:val="both"/>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עמידר, החברה הלאומית לשיכון בישראל בע"מ, ח.פ. 520017393</w:t>
            </w:r>
          </w:p>
          <w:p>
            <w:pPr>
              <w:bidi/>
              <w:spacing w:line="300" w:lineRule="auto"/>
              <w:jc w:val="start"/>
            </w:pPr>
            <w:r>
              <w:rPr>
                <w:rFonts w:ascii="David" w:cs="David" w:eastAsia="David" w:hAnsi="David"/>
                <w:b w:val="false"/>
                <w:bCs w:val="false"/>
                <w:i w:val="false"/>
                <w:iCs w:val="false"/>
                <w:sz w:val="24"/>
                <w:szCs w:val="24"/>
                <w:rtl/>
              </w:rPr>
              <w:t xml:space="preserve">ע"י ב"כ עוה"ד ליאור סיגון (מ.ר. 57413) ו/או ג'וזף דוד (מ.ר. 82574) ואח', מרח' מצדה 9, בני ברק</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התובעת</w:t>
            </w:r>
          </w:p>
        </w:tc>
      </w:tr>
    </w:tbl>
    <w:p>
      <w:pPr>
        <w:bidi/>
        <w:spacing w:after="100" w:before="100"/>
        <w:jc w:val="center"/>
      </w:pPr>
      <w:r>
        <w:rPr>
          <w:rFonts w:ascii="David" w:cs="David" w:eastAsia="David" w:hAnsi="David"/>
          <w:b/>
          <w:bCs/>
          <w:i w:val="false"/>
          <w:iCs w:val="false"/>
          <w:sz w:val="24"/>
          <w:szCs w:val="24"/>
          <w:rtl/>
        </w:rPr>
        <w:t xml:space="preserve">- נ ג ד -</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טדילה וונדימאג'ן, ת.ז. 303214373, מרח' צה"ל 72/6, פתח תקווה; טל': 050-2213355</w:t>
            </w:r>
          </w:p>
          <w:p>
            <w:pPr>
              <w:bidi/>
              <w:spacing w:line="300" w:lineRule="auto"/>
              <w:jc w:val="start"/>
            </w:pPr>
            <w:r>
              <w:rPr>
                <w:rFonts w:ascii="David" w:cs="David" w:eastAsia="David" w:hAnsi="David"/>
                <w:b w:val="false"/>
                <w:bCs w:val="false"/>
                <w:i w:val="false"/>
                <w:iCs w:val="false"/>
                <w:sz w:val="24"/>
                <w:szCs w:val="24"/>
                <w:rtl/>
              </w:rPr>
              <w:t xml:space="preserve">ע"י ב"כ עו"ד ____________________, מ.ר. __________</w:t>
            </w:r>
          </w:p>
          <w:p>
            <w:pPr>
              <w:bidi/>
              <w:spacing w:line="300" w:lineRule="auto"/>
              <w:jc w:val="start"/>
            </w:pPr>
            <w:r>
              <w:rPr>
                <w:rFonts w:ascii="David" w:cs="David" w:eastAsia="David" w:hAnsi="David"/>
                <w:b w:val="false"/>
                <w:bCs w:val="false"/>
                <w:i w:val="false"/>
                <w:iCs w:val="false"/>
                <w:sz w:val="24"/>
                <w:szCs w:val="24"/>
                <w:rtl/>
              </w:rPr>
              <w:t xml:space="preserve">מרח' ____________________; טל': ____________; דוא"ל: ____________</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הנתבעת</w:t>
            </w:r>
          </w:p>
        </w:tc>
      </w:tr>
    </w:tbl>
    <w:p>
      <w:pPr>
        <w:keepNext/>
        <w:keepLines/>
        <w:bidi/>
        <w:spacing w:after="200" w:before="240" w:line="360" w:lineRule="auto"/>
        <w:jc w:val="center"/>
      </w:pPr>
      <w:r>
        <w:rPr>
          <w:rFonts w:ascii="David" w:cs="David" w:eastAsia="David" w:hAnsi="David"/>
          <w:b/>
          <w:bCs/>
          <w:i w:val="false"/>
          <w:iCs w:val="false"/>
          <w:sz w:val="32"/>
          <w:szCs w:val="32"/>
          <w:u w:val="single"/>
          <w:rtl/>
        </w:rPr>
        <w:t xml:space="preserve">כתב הגנה</w:t>
      </w:r>
    </w:p>
    <w:p>
      <w:pPr>
        <w:bidi/>
        <w:spacing w:after="80" w:before="0" w:line="360" w:lineRule="auto"/>
        <w:jc w:val="both"/>
      </w:pPr>
      <w:r>
        <w:rPr>
          <w:rFonts w:ascii="David" w:cs="David" w:eastAsia="David" w:hAnsi="David"/>
          <w:b/>
          <w:bCs/>
          <w:i w:val="false"/>
          <w:iCs w:val="false"/>
          <w:sz w:val="24"/>
          <w:szCs w:val="24"/>
          <w:rtl/>
        </w:rPr>
        <w:t xml:space="preserve">מהות התביעה: </w:t>
      </w:r>
      <w:r>
        <w:rPr>
          <w:rFonts w:ascii="David" w:cs="David" w:eastAsia="David" w:hAnsi="David"/>
          <w:b w:val="false"/>
          <w:bCs w:val="false"/>
          <w:i w:val="false"/>
          <w:iCs w:val="false"/>
          <w:sz w:val="24"/>
          <w:szCs w:val="24"/>
          <w:rtl/>
        </w:rPr>
        <w:t xml:space="preserve">כספית. סכום התביעה: 36,533.38 ₪.</w:t>
      </w:r>
    </w:p>
    <w:p>
      <w:pPr>
        <w:bidi/>
        <w:spacing w:after="80" w:before="0" w:line="360" w:lineRule="auto"/>
        <w:jc w:val="both"/>
      </w:pPr>
      <w:r>
        <w:rPr>
          <w:rFonts w:ascii="David" w:cs="David" w:eastAsia="David" w:hAnsi="David"/>
          <w:b/>
          <w:bCs/>
          <w:i w:val="false"/>
          <w:iCs w:val="false"/>
          <w:sz w:val="24"/>
          <w:szCs w:val="24"/>
          <w:rtl/>
        </w:rPr>
        <w:t xml:space="preserve">מסלול הדיון: </w:t>
      </w:r>
      <w:r>
        <w:rPr>
          <w:rFonts w:ascii="David" w:cs="David" w:eastAsia="David" w:hAnsi="David"/>
          <w:b w:val="false"/>
          <w:bCs w:val="false"/>
          <w:i w:val="false"/>
          <w:iCs w:val="false"/>
          <w:sz w:val="24"/>
          <w:szCs w:val="24"/>
          <w:rtl/>
        </w:rPr>
        <w:t xml:space="preserve">דיון מהיר (תקנה 78(א)(1) לתקנות סדר הדין האזרחי, התשע"ט-2018), כפי שמצהירה התובעת בנספח 6 לכתב התביעה.</w:t>
      </w:r>
    </w:p>
    <w:p>
      <w:pPr>
        <w:bidi/>
        <w:spacing w:after="80" w:before="0" w:line="360" w:lineRule="auto"/>
        <w:jc w:val="both"/>
      </w:pPr>
      <w:r>
        <w:rPr>
          <w:rFonts w:ascii="David" w:cs="David" w:eastAsia="David" w:hAnsi="David"/>
          <w:b/>
          <w:bCs/>
          <w:i w:val="false"/>
          <w:iCs w:val="false"/>
          <w:sz w:val="24"/>
          <w:szCs w:val="24"/>
          <w:rtl/>
        </w:rPr>
        <w:t xml:space="preserve">מועד המצאת כתב התביעה לנתבעת: </w:t>
      </w:r>
      <w:r>
        <w:rPr>
          <w:rFonts w:ascii="David" w:cs="David" w:eastAsia="David" w:hAnsi="David"/>
          <w:b w:val="false"/>
          <w:bCs w:val="false"/>
          <w:i w:val="false"/>
          <w:iCs w:val="false"/>
          <w:sz w:val="24"/>
          <w:szCs w:val="24"/>
          <w:rtl/>
        </w:rPr>
        <w:t xml:space="preserve">יום 21.6.2026.</w:t>
      </w:r>
    </w:p>
    <w:p>
      <w:pPr>
        <w:bidi/>
        <w:spacing w:after="80" w:before="0" w:line="360" w:lineRule="auto"/>
        <w:jc w:val="both"/>
      </w:pPr>
      <w:r>
        <w:rPr>
          <w:rFonts w:ascii="David" w:cs="David" w:eastAsia="David" w:hAnsi="David"/>
          <w:b/>
          <w:bCs/>
          <w:i w:val="false"/>
          <w:iCs w:val="false"/>
          <w:sz w:val="24"/>
          <w:szCs w:val="24"/>
          <w:rtl/>
        </w:rPr>
        <w:t xml:space="preserve">מועד אחרון להגשת כתב ההגנה: </w:t>
      </w:r>
      <w:r>
        <w:rPr>
          <w:rFonts w:ascii="David" w:cs="David" w:eastAsia="David" w:hAnsi="David"/>
          <w:b w:val="false"/>
          <w:bCs w:val="false"/>
          <w:i w:val="false"/>
          <w:iCs w:val="false"/>
          <w:sz w:val="24"/>
          <w:szCs w:val="24"/>
          <w:rtl/>
        </w:rPr>
        <w:t xml:space="preserve">יום 4.9.2026.</w:t>
      </w:r>
    </w:p>
    <w:p>
      <w:pPr>
        <w:bidi/>
        <w:spacing w:after="80" w:before="0" w:line="360" w:lineRule="auto"/>
        <w:jc w:val="both"/>
      </w:pPr>
      <w:r>
        <w:rPr>
          <w:rFonts w:ascii="David" w:cs="David" w:eastAsia="David" w:hAnsi="David"/>
          <w:b/>
          <w:bCs/>
          <w:i w:val="false"/>
          <w:iCs w:val="false"/>
          <w:sz w:val="24"/>
          <w:szCs w:val="24"/>
          <w:rtl/>
        </w:rPr>
        <w:t xml:space="preserve">דבר קיומו של הליך נוסף: </w:t>
      </w:r>
      <w:r>
        <w:rPr>
          <w:rFonts w:ascii="David" w:cs="David" w:eastAsia="David" w:hAnsi="David"/>
          <w:b w:val="false"/>
          <w:bCs w:val="false"/>
          <w:i w:val="false"/>
          <w:iCs w:val="false"/>
          <w:sz w:val="24"/>
          <w:szCs w:val="24"/>
          <w:rtl/>
        </w:rPr>
        <w:t xml:space="preserve">ת"א 12718-06-26, תביעה לסילוק יד בין אותם בעלי דין, שלפי כתב התביעה הוגשה "בגין אותה מסכת עובדתית".</w:t>
      </w:r>
    </w:p>
    <w:p>
      <w:pPr>
        <w:bidi/>
        <w:spacing w:after="120" w:before="200" w:line="360" w:lineRule="auto"/>
        <w:jc w:val="both"/>
      </w:pPr>
      <w:r>
        <w:rPr>
          <w:rFonts w:ascii="David" w:cs="David" w:eastAsia="David" w:hAnsi="David"/>
          <w:b w:val="false"/>
          <w:bCs w:val="false"/>
          <w:i w:val="false"/>
          <w:iCs w:val="false"/>
          <w:sz w:val="24"/>
          <w:szCs w:val="24"/>
          <w:rtl/>
        </w:rPr>
        <w:t xml:space="preserve">הנתבעת מתכבדת להגיש כתב הגנה מטעמה. </w:t>
      </w:r>
      <w:r>
        <w:rPr>
          <w:rFonts w:ascii="David" w:cs="David" w:eastAsia="David" w:hAnsi="David"/>
          <w:b/>
          <w:bCs/>
          <w:i w:val="false"/>
          <w:iCs w:val="false"/>
          <w:sz w:val="24"/>
          <w:szCs w:val="24"/>
          <w:rtl/>
        </w:rPr>
        <w:t xml:space="preserve">כל הטענות הנטענות בכתב התביעה מוכחשות, למעט אם צוין במפורש אחרת.</w:t>
      </w:r>
    </w:p>
    <w:p>
      <w:pPr>
        <w:keepNext/>
        <w:keepLines/>
        <w:bidi/>
        <w:spacing w:after="100" w:before="140" w:line="360" w:lineRule="auto"/>
        <w:jc w:val="center"/>
      </w:pPr>
      <w:r>
        <w:rPr>
          <w:rFonts w:ascii="David" w:cs="David" w:eastAsia="David" w:hAnsi="David"/>
          <w:b/>
          <w:bCs/>
          <w:i w:val="false"/>
          <w:iCs w:val="false"/>
          <w:sz w:val="26"/>
          <w:szCs w:val="26"/>
          <w:u w:val="single"/>
          <w:rtl/>
        </w:rPr>
        <w:t xml:space="preserve">חלק שני - עיקר הטענות</w:t>
      </w:r>
    </w:p>
    <w:p>
      <w:pPr>
        <w:keepNext/>
        <w:keepLines/>
        <w:bidi/>
        <w:spacing w:after="80" w:before="130" w:line="360" w:lineRule="auto"/>
        <w:jc w:val="start"/>
      </w:pPr>
      <w:r>
        <w:rPr>
          <w:rFonts w:ascii="David" w:cs="David" w:eastAsia="David" w:hAnsi="David"/>
          <w:b/>
          <w:bCs/>
          <w:i w:val="false"/>
          <w:iCs w:val="false"/>
          <w:sz w:val="24"/>
          <w:szCs w:val="24"/>
          <w:u w:val="single"/>
          <w:rtl/>
        </w:rPr>
        <w:t xml:space="preserve">טענות מקדמיות</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bCs/>
          <w:i w:val="false"/>
          <w:iCs w:val="false"/>
          <w:sz w:val="24"/>
          <w:szCs w:val="24"/>
          <w:rtl/>
        </w:rPr>
        <w:t xml:space="preserve">פיצול סעדים.</w:t>
      </w:r>
      <w:r>
        <w:rPr>
          <w:rFonts w:ascii="David" w:cs="David" w:eastAsia="David" w:hAnsi="David"/>
          <w:b w:val="false"/>
          <w:bCs w:val="false"/>
          <w:i w:val="false"/>
          <w:iCs w:val="false"/>
          <w:sz w:val="24"/>
          <w:szCs w:val="24"/>
          <w:rtl/>
        </w:rPr>
        <w:t xml:space="preserve"> התובעת מציינת בכתב תביעתה כי תלויה ועומדת נגד הנתבעת תביעה לסילוק יד, ת"א 12718-06-26, "בגין אותה מסכת עובדתית". תקנות 24 ו-25(ב) לתקנות סדר הדין האזרחי, התשע"ט-2018 מחייבות לכלול בכתב תביעה אחד את כל העילות והסעדים בשל אותה מסכת עובדתית, זולת אם ניתנה רשות לפיצול, ורשות כזו לא נטענה. דין התביעה להימחק, ולמצער מתבקש איחוד הדיון.</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bCs/>
          <w:i w:val="false"/>
          <w:iCs w:val="false"/>
          <w:sz w:val="24"/>
          <w:szCs w:val="24"/>
          <w:rtl/>
        </w:rPr>
        <w:t xml:space="preserve">היעדר עילה ואי-צירוף מסמכים.</w:t>
      </w:r>
      <w:r>
        <w:rPr>
          <w:rFonts w:ascii="David" w:cs="David" w:eastAsia="David" w:hAnsi="David"/>
          <w:b w:val="false"/>
          <w:bCs w:val="false"/>
          <w:i w:val="false"/>
          <w:iCs w:val="false"/>
          <w:sz w:val="24"/>
          <w:szCs w:val="24"/>
          <w:rtl/>
        </w:rPr>
        <w:t xml:space="preserve"> התביעה נשענת על טענה אחת: כי ועדה מוסמכת שללה מן הנתבעת מעמד של דיירת ממשיכה. ההחלטה לא צורפה, לא נומקה, לא ניתנה לאחר שימוע ולא הומצאה; ובניגוד לתקנה 79(א)(2) לא צורפו גם ההתראות הנטענות בסעיף 2.</w:t>
      </w:r>
    </w:p>
    <w:p>
      <w:pPr>
        <w:keepNext/>
        <w:keepLines/>
        <w:bidi/>
        <w:spacing w:after="80" w:before="130" w:line="360" w:lineRule="auto"/>
        <w:jc w:val="start"/>
      </w:pPr>
      <w:r>
        <w:rPr>
          <w:rFonts w:ascii="David" w:cs="David" w:eastAsia="David" w:hAnsi="David"/>
          <w:b/>
          <w:bCs/>
          <w:i w:val="false"/>
          <w:iCs w:val="false"/>
          <w:sz w:val="24"/>
          <w:szCs w:val="24"/>
          <w:u w:val="single"/>
          <w:rtl/>
        </w:rPr>
        <w:t xml:space="preserve">תמצית טענות ההגנה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bCs/>
          <w:i w:val="false"/>
          <w:iCs w:val="false"/>
          <w:sz w:val="24"/>
          <w:szCs w:val="24"/>
          <w:rtl/>
        </w:rPr>
        <w:t xml:space="preserve">הנתבעת אינה פולשת.</w:t>
      </w:r>
      <w:r>
        <w:rPr>
          <w:rFonts w:ascii="David" w:cs="David" w:eastAsia="David" w:hAnsi="David"/>
          <w:b w:val="false"/>
          <w:bCs w:val="false"/>
          <w:i w:val="false"/>
          <w:iCs w:val="false"/>
          <w:sz w:val="24"/>
          <w:szCs w:val="24"/>
          <w:rtl/>
        </w:rPr>
        <w:t xml:space="preserve"> היא בתו של הדייר החוזי, מר מנבר וונדימאג'ן ז"ל, שהתגורר בדירה מיום 8.8.1996 ועד לפטירתו ביום 16.2.2024. הנתבעת התגוררה עמו למעלה משלוש שנים בסמוך לפטירתו וטיפלה בו, ומשכך היא "דייר ממשיך" כהגדרתו בסעיף 1 לחוק זכויות הדייר בדיור הציבורי, התשנ"ח-1998; אף התובעת נהגה בה ככזו וקיימה בעניינה ועדה.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bCs/>
          <w:i w:val="false"/>
          <w:iCs w:val="false"/>
          <w:sz w:val="24"/>
          <w:szCs w:val="24"/>
          <w:rtl/>
        </w:rPr>
        <w:t xml:space="preserve">גם לשיטת התובעת אין מדובר בהחזקה שלא כדין.</w:t>
      </w:r>
      <w:r>
        <w:rPr>
          <w:rFonts w:ascii="David" w:cs="David" w:eastAsia="David" w:hAnsi="David"/>
          <w:b w:val="false"/>
          <w:bCs w:val="false"/>
          <w:i w:val="false"/>
          <w:iCs w:val="false"/>
          <w:sz w:val="24"/>
          <w:szCs w:val="24"/>
          <w:rtl/>
        </w:rPr>
        <w:t xml:space="preserve"> סעיף 3(א) לחוק אינו הופך דייר ממשיך שאינו זכאי עצמאית לפולש, אלא מחייבו לפנות את הדירה "בתוך תשעה חודשים מהמועד שבו נמסרה לו הודעה מאת משרד הבינוי והשיכון, בדבר אי-זכאותו לדירה ציבורית לפי הכללים". הודעה כזו לא נמסרה ואיננה בין נספחי כתב התביעה; כל עוד לא נמסרה, ובמשך תשעה חודשים לאחריה, החזקת הנתבעת כדין ולא קמה עילה לדמי שימוש ראויים.</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bCs/>
          <w:i w:val="false"/>
          <w:iCs w:val="false"/>
          <w:sz w:val="24"/>
          <w:szCs w:val="24"/>
          <w:rtl/>
        </w:rPr>
        <w:t xml:space="preserve">התובעת עצמה לא ראתה בנתבעת פולשת.</w:t>
      </w:r>
      <w:r>
        <w:rPr>
          <w:rFonts w:ascii="David" w:cs="David" w:eastAsia="David" w:hAnsi="David"/>
          <w:b w:val="false"/>
          <w:bCs w:val="false"/>
          <w:i w:val="false"/>
          <w:iCs w:val="false"/>
          <w:sz w:val="24"/>
          <w:szCs w:val="24"/>
          <w:rtl/>
        </w:rPr>
        <w:t xml:space="preserve"> ביום 3.7.2024, בידיעה על הפטירה, רשמה נציגתה כי סטטוס החוזה "פעיל", שכר הדירה נטו 221.19 ₪, הנחת המדרוג בתוקף עד 30.9.2024 ו"חוב בתביעה" 0; והתובעת אף גבתה תשלומים בפועל.</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bCs/>
          <w:i w:val="false"/>
          <w:iCs w:val="false"/>
          <w:sz w:val="24"/>
          <w:szCs w:val="24"/>
          <w:rtl/>
        </w:rPr>
        <w:t xml:space="preserve">ההחלטה בטלה והסכום לא הוכח.</w:t>
      </w:r>
      <w:r>
        <w:rPr>
          <w:rFonts w:ascii="David" w:cs="David" w:eastAsia="David" w:hAnsi="David"/>
          <w:b w:val="false"/>
          <w:bCs w:val="false"/>
          <w:i w:val="false"/>
          <w:iCs w:val="false"/>
          <w:sz w:val="24"/>
          <w:szCs w:val="24"/>
          <w:rtl/>
        </w:rPr>
        <w:t xml:space="preserve"> ההחלטה ניתנה ללא הנמקה, שימוע והמצאה, על יסוד תשתית סותרת, ומבלי שנבחנה זכאותה העצמאית של הנתבעת; הנתבעת תוקפת אותה בתקיפה עקיפה. אשר לסכום, לא הוצגה חוות דעת, והחיוב החודשי שגזרה התובעת לעצמה עומד על פי שלושה עשר משכר הדירה נטו שהיא עצמה קבעה.</w:t>
      </w:r>
    </w:p>
    <w:p>
      <w:pPr>
        <w:keepNext/>
        <w:keepLines/>
        <w:bidi/>
        <w:spacing w:after="80" w:before="130" w:line="360" w:lineRule="auto"/>
        <w:jc w:val="start"/>
      </w:pPr>
      <w:r>
        <w:rPr>
          <w:rFonts w:ascii="David" w:cs="David" w:eastAsia="David" w:hAnsi="David"/>
          <w:b/>
          <w:bCs/>
          <w:i w:val="false"/>
          <w:iCs w:val="false"/>
          <w:sz w:val="24"/>
          <w:szCs w:val="24"/>
          <w:u w:val="single"/>
          <w:rtl/>
        </w:rPr>
        <w:t xml:space="preserve">טיעונים לעניין הסעד המבוקש</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דין התביעה להידחות. לחלופין, מתבקש פטור מהשבה לפי סעיף 2 לחוק עשיית עושר ולא במשפט, התשל"ט-1979, או העמדת החיוב על דמי השכירות המסובסדים בניכוי התשלומים ששולמו.</w:t>
      </w:r>
    </w:p>
    <w:p>
      <w:pPr>
        <w:keepNext/>
        <w:keepLines/>
        <w:bidi/>
        <w:spacing w:after="100" w:before="140" w:line="360" w:lineRule="auto"/>
        <w:jc w:val="center"/>
      </w:pPr>
      <w:r>
        <w:rPr>
          <w:rFonts w:ascii="David" w:cs="David" w:eastAsia="David" w:hAnsi="David"/>
          <w:b/>
          <w:bCs/>
          <w:i w:val="false"/>
          <w:iCs w:val="false"/>
          <w:sz w:val="26"/>
          <w:szCs w:val="26"/>
          <w:u w:val="single"/>
          <w:rtl/>
        </w:rPr>
        <w:t xml:space="preserve">חלק שלישי - טיעון עובדתי</w:t>
      </w:r>
    </w:p>
    <w:p>
      <w:pPr>
        <w:keepNext/>
        <w:keepLines/>
        <w:bidi/>
        <w:spacing w:after="80" w:before="130" w:line="360" w:lineRule="auto"/>
        <w:jc w:val="start"/>
      </w:pPr>
      <w:r>
        <w:rPr>
          <w:rFonts w:ascii="David" w:cs="David" w:eastAsia="David" w:hAnsi="David"/>
          <w:b/>
          <w:bCs/>
          <w:i w:val="false"/>
          <w:iCs w:val="false"/>
          <w:sz w:val="24"/>
          <w:szCs w:val="24"/>
          <w:u w:val="single"/>
          <w:rtl/>
        </w:rPr>
        <w:t xml:space="preserve">א. הרקע והתנהלות התובעת לאחר הפטירה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הדירה ברח' צה"ל 72/6 בפתח תקווה הושכרה לאביה המנוח של הנתבעת על פי חוזה מיום 29.8.1996. המנוח נפטר ביום 16.2.2024, והנתבעת התגוררה עמו למעלה משלוש שנים בסמוך לפטירתו וטיפלה בו בשנותיו האחרונות, עת היה חולה.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3.7.2024, כארבעה חודשים וחצי לאחר הפטירה, ערכה נציגת התובעת ביקור בדירה ורשמה בטופס "סיכום ביקור" (עמ' 38 לכתב התביעה): </w:t>
      </w:r>
      <w:r>
        <w:rPr>
          <w:rFonts w:ascii="David" w:cs="David" w:eastAsia="David" w:hAnsi="David"/>
          <w:b/>
          <w:bCs/>
          <w:i w:val="false"/>
          <w:iCs w:val="false"/>
          <w:sz w:val="24"/>
          <w:szCs w:val="24"/>
          <w:rtl/>
        </w:rPr>
        <w:t xml:space="preserve">"דייר חוזי נפטר, ביקור עם הבת עדן טדלה"</w:t>
      </w:r>
      <w:r>
        <w:rPr>
          <w:rFonts w:ascii="David" w:cs="David" w:eastAsia="David" w:hAnsi="David"/>
          <w:b w:val="false"/>
          <w:bCs w:val="false"/>
          <w:i w:val="false"/>
          <w:iCs w:val="false"/>
          <w:sz w:val="24"/>
          <w:szCs w:val="24"/>
          <w:rtl/>
        </w:rPr>
        <w:t xml:space="preserve">. באותו טופס נרשם: </w:t>
      </w:r>
      <w:r>
        <w:rPr>
          <w:rFonts w:ascii="David" w:cs="David" w:eastAsia="David" w:hAnsi="David"/>
          <w:b/>
          <w:bCs/>
          <w:i w:val="false"/>
          <w:iCs w:val="false"/>
          <w:sz w:val="24"/>
          <w:szCs w:val="24"/>
          <w:rtl/>
        </w:rPr>
        <w:t xml:space="preserve">"סטטוס חוזה: פעיל"</w:t>
      </w:r>
      <w:r>
        <w:rPr>
          <w:rFonts w:ascii="David" w:cs="David" w:eastAsia="David" w:hAnsi="David"/>
          <w:b w:val="false"/>
          <w:bCs w:val="false"/>
          <w:i w:val="false"/>
          <w:iCs w:val="false"/>
          <w:sz w:val="24"/>
          <w:szCs w:val="24"/>
          <w:rtl/>
        </w:rPr>
        <w:t xml:space="preserve">; "שימוש בפועל: מגורים"; </w:t>
      </w:r>
      <w:r>
        <w:rPr>
          <w:rFonts w:ascii="David" w:cs="David" w:eastAsia="David" w:hAnsi="David"/>
          <w:b/>
          <w:bCs/>
          <w:i w:val="false"/>
          <w:iCs w:val="false"/>
          <w:sz w:val="24"/>
          <w:szCs w:val="24"/>
          <w:rtl/>
        </w:rPr>
        <w:t xml:space="preserve">"שכ"ד נטו: 221.19"</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"מועד סיום הנחה: 30/09/2024"</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"חוב בתביעה: 0"</w:t>
      </w:r>
      <w:r>
        <w:rPr>
          <w:rFonts w:ascii="David" w:cs="David" w:eastAsia="David" w:hAnsi="David"/>
          <w:b w:val="false"/>
          <w:bCs w:val="false"/>
          <w:i w:val="false"/>
          <w:iCs w:val="false"/>
          <w:sz w:val="24"/>
          <w:szCs w:val="24"/>
          <w:rtl/>
        </w:rPr>
        <w:t xml:space="preserve">.</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23.7.2024 הנפיקה התובעת קבלה על סך 1,355.71 ₪ בגין </w:t>
      </w:r>
      <w:r>
        <w:rPr>
          <w:rFonts w:ascii="David" w:cs="David" w:eastAsia="David" w:hAnsi="David"/>
          <w:b/>
          <w:bCs/>
          <w:i w:val="false"/>
          <w:iCs w:val="false"/>
          <w:sz w:val="24"/>
          <w:szCs w:val="24"/>
          <w:rtl/>
        </w:rPr>
        <w:t xml:space="preserve">שכר דירה</w:t>
      </w:r>
      <w:r>
        <w:rPr>
          <w:rFonts w:ascii="David" w:cs="David" w:eastAsia="David" w:hAnsi="David"/>
          <w:b w:val="false"/>
          <w:bCs w:val="false"/>
          <w:i w:val="false"/>
          <w:iCs w:val="false"/>
          <w:sz w:val="24"/>
          <w:szCs w:val="24"/>
          <w:rtl/>
        </w:rPr>
        <w:t xml:space="preserve"> (קוד 101) לחודשים 02/2024 עד 07/2024, על שם הדייר החוזי המנוח ולחשבונו, כחמישה חודשים לאחר פטירתו, והסכום שולם (נספח א'). ואולם ביום 17.9.2024, לאחר החלטת הוועדה (2.9.2024), הוציאה שובר חדש על שם הנתבעת ובו נדרשה לשלם בגין אותם חודשים בתוספת שניים סך 21,730.81 ₪ תחת הכותרת </w:t>
      </w:r>
      <w:r>
        <w:rPr>
          <w:rFonts w:ascii="David" w:cs="David" w:eastAsia="David" w:hAnsi="David"/>
          <w:b/>
          <w:bCs/>
          <w:i w:val="false"/>
          <w:iCs w:val="false"/>
          <w:sz w:val="24"/>
          <w:szCs w:val="24"/>
          <w:rtl/>
        </w:rPr>
        <w:t xml:space="preserve">"דמי שמוש ראויים"</w:t>
      </w:r>
      <w:r>
        <w:rPr>
          <w:rFonts w:ascii="David" w:cs="David" w:eastAsia="David" w:hAnsi="David"/>
          <w:b w:val="false"/>
          <w:bCs w:val="false"/>
          <w:i w:val="false"/>
          <w:iCs w:val="false"/>
          <w:sz w:val="24"/>
          <w:szCs w:val="24"/>
          <w:rtl/>
        </w:rPr>
        <w:t xml:space="preserve"> (קוד 103); כך חויבה הדירה פעמיים (נספח ב'). ביום 27.3.2025 שילמה הנתבעת 2,911.01 ₪ נוספים על פי שובר שהתובעת שלחה אליה (נספח ג'). אף לפי הכרטסת, מספר חודשי אי-התשלום הוא 12 מתוך למעלה מעשרים וארבעה.</w:t>
      </w:r>
    </w:p>
    <w:p>
      <w:pPr>
        <w:keepNext/>
        <w:keepLines/>
        <w:bidi/>
        <w:spacing w:after="80" w:before="130" w:line="360" w:lineRule="auto"/>
        <w:jc w:val="start"/>
      </w:pPr>
      <w:r>
        <w:rPr>
          <w:rFonts w:ascii="David" w:cs="David" w:eastAsia="David" w:hAnsi="David"/>
          <w:b/>
          <w:bCs/>
          <w:i w:val="false"/>
          <w:iCs w:val="false"/>
          <w:sz w:val="24"/>
          <w:szCs w:val="24"/>
          <w:u w:val="single"/>
          <w:rtl/>
        </w:rPr>
        <w:t xml:space="preserve">ב. פגמי החלטת הוועדה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נספח 4 אינו החלטה אלא טופס שרובו לא מולא: הפרק "נימוקים והמלצות" ריק, הפרק "החלטת הוועדה המחוזית" נושא שתי שורות בכתב יד ללא נימוק, והשדה "מצ"ב החלטת ועדה מיום ___" ריק בעוד המסמך שאליו הוא מפנה לא הוצג. חובת ההנמקה קבועה בסעיף 2 לחוק לתיקון סדרי המינהל (החלטות והנמקות), התשי"ט-1958. אף התשתית שבטופס סותרת את עצמה: בטבלת ביקורי המעגל (עמ' 42) נרשם ביחס לביקור מיום 3.7.2024 כי הדייר החוזי "גר: כן", ארבעה חודשים וחצי לאחר פטירתו; ובאותה שורה, היחידה שנערכה לאחר הפטירה, נרשם ביחס לדייר הממשיך "גר? כן". והטופס אף בוחן תנאי אחד בלבד, הוא תנאי הוראת המעבר: מגורים מיום 1.8.2009 ולא פחות מארבע שנים רצופות. הוא אינו בוחן את זכאותה העצמאית של הנתבעת לפי הכללים, היא החלופה שבסעיף 3(ב) לחוק, ואכן השדות שבטופס לעניין זה, "חסר דירה" ו"מומש סיוע בשכ"ד", נותרו ריקים. ומכל מקום, ועדה פנימית של התובעת אינה משרד הבינוי והשיכון.</w:t>
      </w:r>
    </w:p>
    <w:p>
      <w:pPr>
        <w:keepNext/>
        <w:keepLines/>
        <w:bidi/>
        <w:spacing w:after="80" w:before="130" w:line="360" w:lineRule="auto"/>
        <w:jc w:val="start"/>
      </w:pPr>
      <w:r>
        <w:rPr>
          <w:rFonts w:ascii="David" w:cs="David" w:eastAsia="David" w:hAnsi="David"/>
          <w:b/>
          <w:bCs/>
          <w:i w:val="false"/>
          <w:iCs w:val="false"/>
          <w:sz w:val="24"/>
          <w:szCs w:val="24"/>
          <w:u w:val="single"/>
          <w:rtl/>
        </w:rPr>
        <w:t xml:space="preserve">ג. חומר הרווחה וגובה החיוב</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מצוקת הדיור של הנתבעת מתועדת מזה למעלה מעשור: בשנת 2013 פנתה בכתב אל משרד הבינוי והשיכון בבקשה לפתרון דיור, ותיארה כי אין לה קורת גג משלה וכי היא מתגוררת בשכירות עם שלושת ילדיה. הפנייה נמסרה באמצעות מרכז אלונים, גורם רווחה ושיקום, ואושרה בחותמתו ביום 28.6.2013 (נספח ד'). לחומר זה משקל משפטי ישיר, שכן הוא נוגע לזכאותה העצמאית לפי סעיף 3(ב), ובנספח 4 אין אליו כל התייחסות.</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התובעת עותרת לסך 36,533.38 ₪, בחיוב חודשי של 2,948.85 ₪, בעוד היא עצמה קבעה באותה תקופה כי שכר הדירה נטו הוא 221.19 ₪. לא הוצגה חוות דעת לשווי, והכרטסת אינה ראיה אלא רישום פנימי; ואת הריבית גובה התובעת מכוח חוזה השכירות, שאת קיומו היא מכחישה.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1, 5, 6, 7, 13, 14 ו-17 אינו מוכחש ככל שהוא נוגע לזהות הצדדים והדירה, לסמכות ולמועד הפטירה. הנטען בסעיפים 2, 8, 9, 15 ו-16 מוכחש: הנתבעת לא פלשה ואינה מחזיקה שלא כדין, ולא נשלחו אליה התראות. הנטען בסעיפים 3, 4, 10, 11, 12, 18, 19, 21, 22 ו-23 מוכחש מן הטעמים שבפרקים א' עד ג'. ואשר לסעיף 20, הדיור הציבורי אכן נועד למי שידה אינה משגת, ותכלית זו מכוונת אל הנתבעת.</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לאור כל האמור מתבקש בית המשפט הנכבד לדחות את התביעה; לחלופין, למוחקה מחמת פיצול סעדים או להורות על איחוד הדיון עם ת"א 12718-06-26; לחלופין, לקבוע כי לא קמה עילה לדמי שימוש ראויים כל עוד לא נמסרה הודעה לפי סעיף 3(א) ולא חלפו תשעה חודשים ממסירתה; ולחלופי חלופין, להעמיד את החיוב על דמי השכירות המסובסדים בניכוי התשלומים ששולמו. כן מתבקש לחייב את התובעת בהוצאות.</w:t>
      </w:r>
    </w:p>
    <w:p>
      <w:pPr>
        <w:bidi/>
        <w:spacing w:after="120" w:before="0" w:line="360" w:lineRule="auto"/>
        <w:jc w:val="both"/>
      </w:pPr>
      <w:r>
        <w:rPr>
          <w:rFonts w:ascii="David" w:cs="David" w:eastAsia="David" w:hAnsi="David"/>
          <w:b/>
          <w:bCs/>
          <w:i w:val="false"/>
          <w:iCs w:val="false"/>
          <w:sz w:val="24"/>
          <w:szCs w:val="24"/>
          <w:rtl/>
        </w:rPr>
        <w:t xml:space="preserve">נספחים:</w:t>
      </w:r>
      <w:r>
        <w:rPr>
          <w:rFonts w:ascii="David" w:cs="David" w:eastAsia="David" w:hAnsi="David"/>
          <w:b w:val="false"/>
          <w:bCs w:val="false"/>
          <w:i w:val="false"/>
          <w:iCs w:val="false"/>
          <w:sz w:val="24"/>
          <w:szCs w:val="24"/>
          <w:rtl/>
        </w:rPr>
        <w:t xml:space="preserve"> א' קבלת עמידר; ב' שובר עמידר; ג' אישור בנק יהב; ד' מכתב הנתבעת למשרד השיכון; ה' בקשת ההכרה כדיירת ממשיכה; ו' ייפוי כוח.</w:t>
      </w:r>
    </w:p>
    <w:p>
      <w:pPr>
        <w:bidi/>
        <w:spacing w:after="0" w:before="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 ב"כ הנתבעת</w:t>
      </w:r>
    </w:p>
    <w:p>
      <w:pPr>
        <w:keepNext/>
        <w:keepLines/>
        <w:pageBreakBefore/>
        <w:bidi/>
        <w:spacing w:after="200" w:before="240" w:line="360" w:lineRule="auto"/>
        <w:jc w:val="center"/>
      </w:pPr>
      <w:r>
        <w:rPr>
          <w:rFonts w:ascii="David" w:cs="David" w:eastAsia="David" w:hAnsi="David"/>
          <w:b/>
          <w:bCs/>
          <w:i w:val="false"/>
          <w:iCs w:val="false"/>
          <w:sz w:val="32"/>
          <w:szCs w:val="32"/>
          <w:u w:val="single"/>
          <w:rtl/>
        </w:rPr>
        <w:t xml:space="preserve">תצהיר מטעם הנתבעת ורשימת מסמכים</w:t>
      </w:r>
    </w:p>
    <w:p>
      <w:pPr>
        <w:keepNext/>
        <w:bidi/>
        <w:spacing w:after="220" w:line="300" w:lineRule="auto"/>
        <w:jc w:val="center"/>
      </w:pPr>
      <w:r>
        <w:rPr>
          <w:rFonts w:ascii="David" w:cs="David" w:eastAsia="David" w:hAnsi="David"/>
          <w:b w:val="false"/>
          <w:bCs w:val="false"/>
          <w:i w:val="false"/>
          <w:iCs w:val="false"/>
          <w:sz w:val="22"/>
          <w:szCs w:val="22"/>
          <w:rtl/>
        </w:rPr>
        <w:t xml:space="preserve">בבית משפט השלום בפתח תקווה, ת"א ______ | עמידר, החברה הלאומית לשיכון בישראל בע"מ (התובעת) נגד טדילה וונדימאג'ן (הנתבעת) | תצהיר ערוך לפי טופס 5 שבתוספת הראשונה לתקנות סדר הדין האזרחי, התשע"ט-2018.</w:t>
      </w:r>
    </w:p>
    <w:p>
      <w:pPr>
        <w:bidi/>
        <w:spacing w:after="200" w:before="0" w:line="360" w:lineRule="auto"/>
        <w:jc w:val="both"/>
      </w:pPr>
      <w:r>
        <w:rPr>
          <w:rFonts w:ascii="David" w:cs="David" w:eastAsia="David" w:hAnsi="David"/>
          <w:b w:val="false"/>
          <w:bCs w:val="false"/>
          <w:i w:val="false"/>
          <w:iCs w:val="false"/>
          <w:sz w:val="24"/>
          <w:szCs w:val="24"/>
          <w:rtl/>
        </w:rPr>
        <w:t xml:space="preserve">אני החתומה מטה, טדילה וונדימאג'ן, ת.ז. 303214373, מרח' צה"ל 72/6 פתח תקווה, לאחר שהוזהרתי כי עליי לומר את האמת וכי אהיה צפויה לעונשים הקבועים בחוק אם לא אעשה כן, מצהירה בזאת כדלקמן:</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הריני עושה תצהירי זה כתצהיר תומך לכתב ההגנה מטעמי בתובענה שבכותרת, לפי תקנה 79(א)(1) לתקנות.</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העובדות המפורטות בכתב ההגנה, להבדיל מן הטענות המשפטיות ומן המסקנות שבו, נכונות וידועות לי מידיעתי האישית; והעובדות הנוגעות למסמכי התובעת ידועות לי מתוך המסמכים עצמם, המצורפים לכתב התביעה.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התגוררתי עם אבי המנוח, מר מנבר וונדימאג'ן ז"ל, ת.ז. 303214381, בדירה ברח' צה"ל 72/6 בפתח תקווה, החל מיום __________ ועד לפטירתו ביום 16.2.2024, ובשנותיו האחרונות טיפלתי בו.</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 נמסרה לי מעולם הודעה מאת משרד הבינוי והשיכון בדבר אי-זכאותי לדירה ציבורית, ואף לא הודעה כלשהי על החלטת ועדה בענייני.</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רשימת המסמכים הנוגעים לעניין הנדון, המצויים או שהיו מצויים ברשותי או בשליטתי ואשר איתרתי לאחר חקירה ודרישה, היא נספחים א' עד ה' כמפורט בכתב ההגנה.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זהו שמי, זו חתימתי ותוכן תצהירי אמת.</w:t>
      </w:r>
    </w:p>
    <w:p>
      <w:pPr>
        <w:bidi/>
        <w:spacing w:after="0" w:before="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240" w:line="240" w:lineRule="auto"/>
        <w:jc w:val="center"/>
      </w:pPr>
      <w:r>
        <w:rPr>
          <w:rFonts w:ascii="David" w:cs="David" w:eastAsia="David" w:hAnsi="David"/>
          <w:b/>
          <w:bCs/>
          <w:i w:val="false"/>
          <w:iCs w:val="false"/>
          <w:sz w:val="24"/>
          <w:szCs w:val="24"/>
          <w:rtl/>
        </w:rPr>
        <w:t xml:space="preserve">טדילה וונדימאג'ן</w:t>
      </w:r>
    </w:p>
    <w:p>
      <w:pPr>
        <w:bidi/>
        <w:spacing w:after="140" w:before="240"/>
        <w:jc w:val="center"/>
      </w:pPr>
      <w:r>
        <w:rPr>
          <w:rFonts w:ascii="David" w:cs="David" w:eastAsia="David" w:hAnsi="David"/>
          <w:b/>
          <w:bCs/>
          <w:i w:val="false"/>
          <w:iCs w:val="false"/>
          <w:sz w:val="24"/>
          <w:szCs w:val="24"/>
          <w:u w:val="single"/>
          <w:rtl/>
        </w:rPr>
        <w:t xml:space="preserve">א י ש ו ר</w:t>
      </w:r>
    </w:p>
    <w:p>
      <w:pPr>
        <w:bidi/>
        <w:spacing w:after="120" w:before="0" w:line="360" w:lineRule="auto"/>
        <w:jc w:val="both"/>
      </w:pPr>
      <w:r>
        <w:rPr>
          <w:rFonts w:ascii="David" w:cs="David" w:eastAsia="David" w:hAnsi="David"/>
          <w:b w:val="false"/>
          <w:bCs w:val="false"/>
          <w:i w:val="false"/>
          <w:iCs w:val="false"/>
          <w:sz w:val="24"/>
          <w:szCs w:val="24"/>
          <w:rtl/>
        </w:rPr>
        <w:t xml:space="preserve">הריני לאשר כי ביום __________ הופיעה בפניי, במשרדי ברח' ____________________, גב' טדילה וונדימאג'ן, שזיהיתיה לפי תעודת זהות מספר 303214373, ולאחר שהזהרתיה כי עליה לומר את האמת ואת האמת בלבד, וכי תהיה צפויה לעונשים הקבועים בחוק אם לא תעשה כן, אישרה את נכונות הצהרתה דלעיל וחתמה עליה בפניי.</w:t>
      </w:r>
    </w:p>
    <w:p>
      <w:pPr>
        <w:bidi/>
        <w:spacing w:after="0" w:before="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w:t>
      </w:r>
    </w:p>
    <w:p>
      <w:pPr>
        <w:keepNext/>
        <w:keepLines/>
        <w:pageBreakBefore/>
        <w:bidi/>
        <w:spacing w:after="200" w:before="240" w:line="360" w:lineRule="auto"/>
        <w:jc w:val="center"/>
      </w:pPr>
      <w:r>
        <w:rPr>
          <w:rFonts w:ascii="David" w:cs="David" w:eastAsia="David" w:hAnsi="David"/>
          <w:b/>
          <w:bCs/>
          <w:i w:val="false"/>
          <w:iCs w:val="false"/>
          <w:sz w:val="32"/>
          <w:szCs w:val="32"/>
          <w:u w:val="single"/>
          <w:rtl/>
        </w:rPr>
        <w:t xml:space="preserve">הערות להשלמה - למחיקה לפני ההגשה</w:t>
      </w:r>
    </w:p>
    <w:p>
      <w:pPr>
        <w:bidi/>
        <w:spacing w:after="200" w:before="0" w:line="360" w:lineRule="auto"/>
        <w:jc w:val="both"/>
      </w:pPr>
      <w:r>
        <w:rPr>
          <w:rFonts w:ascii="David" w:cs="David" w:eastAsia="David" w:hAnsi="David"/>
          <w:b w:val="false"/>
          <w:bCs w:val="false"/>
          <w:i w:val="false"/>
          <w:iCs w:val="false"/>
          <w:sz w:val="24"/>
          <w:szCs w:val="24"/>
          <w:rtl/>
        </w:rPr>
        <w:t xml:space="preserve">דף זה אינו חלק מכתב ההגנה. יש למחוק אותו, ואת ההערות המודגשות בגוף המסמך, לפני ההגשה.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מספר התיק בכותרת; שם עורך הדין, מספר רישיון, מען ופרטי התקשרות.</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תקופת המגורים המשותפים בדירה: מועד תחילתה ומשכה, בפרק א' לכתב ההגנה ובסעיף 3 לתצהיר. הראיות התומכות: מרשם האוכלוסין, חשבונות ודברי דואר שנשלחו לכתובת הדירה, מסמכים רפואיים מתקופת מחלת האב, ותצהירי שכנים או בני משפחה.</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לברר מול הלקוחה שתי שאלות הקובעות את המסלול המשפטי: (א) האם התגוררה בדירה ביום 1.8.2009, ואם כן האם התגוררה ברציפות ארבע שנים לפחות עד לפטירת האב. אם כן, חלה עליה הוראת המעבר ונוסחו הקודם של סעיף 3, המקנה זכות להמשיך ולהתגורר. (ב) האם היא זכאית באופן עצמאי לדירה ציבורית לפי כללי משרד הבינוי והשיכון. אם כן, חל סעיף 3(ב) והיא באה בנעלי הזכאי לכל דבר ועניין. יש לתקן את פרק א' ואת התצהיר בהתאם.</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לאמת לפני ההגשה את נוסחם המדויק של סעיף 3 לחוק ושל הוראת המעבר בחוק ההתייעלות הכלכלית (תיקוני חקיקה ליישום התכנית הכלכלית לשנים 2009 ו-2010), התשס"ט-2009, ולשקול לצרף אסמכתה מן הפסיקה העדכנית בסוגיית תנאי הוראת המעבר (ר' רע"א 1705/24 פרזות נ' אוחיון, שלא אומת כאן).</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המועד האחרון להגשה נרשם לפי הנתון שנמסר, 4.9.2026. יש לאמת את החישוב מול תקנה 80(א) (45 ימים מן ההמצאה ביום 21.6.2026) ומול תקנה 179(ב) בעניין פגרת בתי המשפט.</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זהות הבת שנכחה בביקור מיום 3.7.2024. השם שנרשם בטופס התובעת אינו תואם במדויק את שם הנתבעת. יש לברר אם מדובר בנתבעת ששמה נרשם בשגגה או באחותה, ולהוסיף משפט מבהיר בפרק ב'.</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מכתב המלצה נפרד מגורם הרווחה, אם קיים: לצרפו כנספח ד'1, לציין שם ותפקיד עובד הרווחה ותאריך, ולהוסיף בפרק ד': "גורם הרווחה אף צירף את המלצתו כי יש להעניק לנתבעת פתרון דיור."</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צירוף ייפוי כוח (נספח ו') ובקשת ההכרה כדיירת ממשיכה (נספח ה'). אם הבקשה אינה מצויה בידי הנתבעת, יש לפרט בתצהיר את הנסיבות (תקנה 79(א)(2) סיפא).</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קבלות ואישורי תשלום נוספים, תכתובות מול עמידר ומסמכי רווחה שבידי הנתבעת: להוסיף לרשימת הנספחים ולתצהיר.</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להחליט על הגשת תביעה שכנגד להשבת הכספים שנגבו. תביעה שכנגד מוגשת יחד עם כתב ההגנה (תקנות 21(א) ו-80(ח)).</w:t>
      </w:r>
    </w:p>
    <w:p>
      <w:pPr>
        <w:tabs>
          <w:tab w:val="start" w:pos="480"/>
        </w:tabs>
        <w:bidi/>
        <w:spacing w:after="60" w:line="360" w:lineRule="auto"/>
        <w:ind w:start="480" w:hanging="480"/>
        <w:jc w:val="both"/>
      </w:pPr>
      <w:r>
        <w:rPr>
          <w:rFonts w:ascii="David" w:cs="David" w:eastAsia="David" w:hAnsi="David"/>
          <w:b w:val="false"/>
          <w:bCs w:val="false"/>
          <w:i w:val="false"/>
          <w:iCs w:val="false"/>
          <w:sz w:val="24"/>
          <w:szCs w:val="24"/>
          <w:rtl/>
        </w:rPr>
        <w:t xml:space="preserve">11.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לשקול הגשת בקשה נפרדת לאיחוד הדיון עם ת"א 12718-06-26.</w:t>
      </w:r>
    </w:p>
    <w:sectPr>
      <w:footerReference w:type="default" r:id="rId7"/>
      <w:pgSz w:w="11906" w:h="16838" w:orient="portrait"/>
      <w:pgMar w:top="850" w:right="1417" w:bottom="646" w:left="1417" w:header="340" w:footer="340" w:gutter="0"/>
      <w:bidi/>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bidi/>
        <w:ind w:start="720" w:hanging="360"/>
      </w:pPr>
    </w:lvl>
    <w:lvl w:ilvl="1" w15:tentative="1">
      <w:start w:val="1"/>
      <w:numFmt w:val="bullet"/>
      <w:lvlText w:val="○"/>
      <w:lvlJc w:val="left"/>
      <w:pPr>
        <w:bidi/>
        <w:ind w:start="1440" w:hanging="360"/>
      </w:pPr>
    </w:lvl>
    <w:lvl w:ilvl="2" w15:tentative="1">
      <w:start w:val="1"/>
      <w:numFmt w:val="bullet"/>
      <w:lvlText w:val="■"/>
      <w:lvlJc w:val="left"/>
      <w:pPr>
        <w:bidi/>
        <w:ind w:start="2160" w:hanging="360"/>
      </w:pPr>
    </w:lvl>
    <w:lvl w:ilvl="3" w15:tentative="1">
      <w:start w:val="1"/>
      <w:numFmt w:val="bullet"/>
      <w:lvlText w:val="●"/>
      <w:lvlJc w:val="left"/>
      <w:pPr>
        <w:bidi/>
        <w:ind w:start="2880" w:hanging="360"/>
      </w:pPr>
    </w:lvl>
    <w:lvl w:ilvl="4" w15:tentative="1">
      <w:start w:val="1"/>
      <w:numFmt w:val="bullet"/>
      <w:lvlText w:val="○"/>
      <w:lvlJc w:val="left"/>
      <w:pPr>
        <w:bidi/>
        <w:ind w:start="3600" w:hanging="360"/>
      </w:pPr>
    </w:lvl>
    <w:lvl w:ilvl="5" w15:tentative="1">
      <w:start w:val="1"/>
      <w:numFmt w:val="bullet"/>
      <w:lvlText w:val="■"/>
      <w:lvlJc w:val="left"/>
      <w:pPr>
        <w:bidi/>
        <w:ind w:start="4320" w:hanging="360"/>
      </w:pPr>
    </w:lvl>
    <w:lvl w:ilvl="6" w15:tentative="1">
      <w:start w:val="1"/>
      <w:numFmt w:val="bullet"/>
      <w:lvlText w:val="●"/>
      <w:lvlJc w:val="left"/>
      <w:pPr>
        <w:bidi/>
        <w:ind w:start="5040" w:hanging="360"/>
      </w:pPr>
    </w:lvl>
    <w:lvl w:ilvl="7" w15:tentative="1">
      <w:start w:val="1"/>
      <w:numFmt w:val="bullet"/>
      <w:lvlText w:val="●"/>
      <w:lvlJc w:val="left"/>
      <w:pPr>
        <w:bidi/>
        <w:ind w:start="5760" w:hanging="360"/>
      </w:pPr>
    </w:lvl>
    <w:lvl w:ilvl="8" w15:tentative="1">
      <w:start w:val="1"/>
      <w:numFmt w:val="bullet"/>
      <w:lvlText w:val="●"/>
      <w:lvlJc w:val="left"/>
      <w:pPr>
        <w:bidi/>
        <w:ind w:star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2026-09-01T14:54:27.113Z</dcterms:created>
  <dcterms:modified xsi:type="dcterms:W3CDTF">2026-09-01T14:54:27.113Z</dcterms:modified>
</cp:coreProperties>
</file>

<file path=docProps/custom.xml><?xml version="1.0" encoding="utf-8"?>
<Properties xmlns="http://schemas.openxmlformats.org/officeDocument/2006/custom-properties" xmlns:vt="http://schemas.openxmlformats.org/officeDocument/2006/docPropsVTypes"/>
</file>