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תקנות 24 ו-25(ב) לתקנות סדר הדין האזרחי, התשע"ט-2018 מחייבות לכלול בכתב תביעה אחד את כל העילות והסעדים בשל אותה מסכת עובדתית, זולת אם ניתנה רשות לפיצול; רשות כזו לא נטענה ולא הוצגה, ואף ההחלטה על איחוד הדיון אין בה משום רשות בדיעבד. דין התביעה להימחק.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 וכמוה גם ההתראות הנטענות בסעיף 2 לכתב התביעה, בניגוד לתקנה 79(א)(2).</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גדלה בדירה והתגוררה בה מילדותה, לרבות ביום 1.8.2009 וברציפות עד לשנת 2019, שבה שכרה דירה בסמוך על רקע מתח שנתגלע בינה לבין אביה.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בסמוך לחודש דצמבר 2023 שבה אל הדירה כדי לסעוד את אביה עד לפטירתו, ומאז היא מתגוררת בה, והדירה היא ביתה היחיד. מי שאלה נסיבות כניסתה אינה "פולשת", ולכל היותר עסקינן בבת-רשות.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תטען הנתבעת כי היא "דייר ממשיך" כהגדרתו בסעיף 1 לחוק זכויות הדייר בדיור הציבורי, התשנ"ח-1998; ולעניין הוראת המעבר, התנאי שהתובעת עצמה הציבה בראש טבלת ביקורי המעגל שבנספח 4 הוא "ביקורי מעגל לדייר הממשיך מתאריך 1.8.09 ועד מועד הבקשה ולא פחות מ-4 שנות מגורים רצופות", והנתבעת התגוררה בדירה מיום 1.8.2009 וברציפות כעשר שנים. מכל מקום, שאלת מגוריה לא נבדקה מעולם ומקומה להתברר בראיות.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היא אף הוסיפה לגבות תשלומים בפועל, ולא מסרה הודעה בכתב על סיום השכירות כנדרש בסעיף 2 לחוזה.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ללא שימוע וללא המצאה, על יסוד תשתית הסותרת את עצמה ומבלי שנבחנה זכאותה העצמאית של הנתבעת; הנתבעת תוקפת אותה בתקיפה עקיפה. ואשר לסכום, לא הוצגה חוות דעת, והחיוב החודשי שגזרה התובעת לעצמה גבוה פי שלושה עשר משכר הדירה נטו שהיא עצמה קבעה.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ולנוכח היות הנתבעת נכה בשיעור 100% שאינה עובדת, מוכרת ברווחה וסמוכה על קצבת המוסד לביטוח לאומי,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ומועד האכלוס הרשום בכל טופסי התובעת הוא 8.8.1996. המנוח, יליד 1943, עלה לישראל מאתיופיה בשנת 1991 ונפטר ביום 16.2.2024. תעודת הפטירה, שהתובעת עצמה צירפה כנספח 3, נשלחה ביום 10.3.2024 מלשכת רשות האוכלוסין בפתח תקווה אל הנתבעת, בכתובת הדירה.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נסיבות מגוריה של הנתבעת.</w:t>
      </w:r>
      <w:r>
        <w:rPr>
          <w:rFonts w:ascii="David" w:cs="David" w:eastAsia="David" w:hAnsi="David"/>
          <w:b w:val="false"/>
          <w:bCs w:val="false"/>
          <w:i w:val="false"/>
          <w:iCs w:val="false"/>
          <w:sz w:val="24"/>
          <w:szCs w:val="24"/>
          <w:rtl/>
        </w:rPr>
        <w:t xml:space="preserve"> היא גדלה בדירה והתגוררה בה מילדותה, לרבות ביום 1.8.2009 וברציפות עד לשנת 2019. באותה שנה, על רקע מתח וקושי שנתגלעו בינה לבין אביה, שכרה דירה בסמוך כדי שיהיה בידה מקום לינה נפרד.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היא לא נטשה את אביה ולא חדלה מלבקרו: הגיעה אליו בתדירות גבוהה, הכינה עבורו אוכל ודאגה לצרכיו. בסמוך לחודש דצמבר 2023, כשבעה חודשים בטרם פקע חוזה השכירות שלה, עזבה את הדירה השכורה ועברה לשהות לצד אביה ולסעוד אותו עד לפטירתו.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מאז היא מתגוררת בדירה ברציפות. הדירה היא ביתה היחיד; אין לה דירה בבעלותה ומעולם לא היתה לה. ודוק, בטבלת ביקורי המעגל שבנספח 4 נרשם "לא" ביחס לדייר ממשיך בכל אחת מן השנים 2010 עד 2019, עשור שלם שבו התגוררה הנתבעת בדירה, ובלא שנשאלה, זומנה או נשמעה ולו פעם אחת.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הביקור מיום 3.7.2024.</w:t>
      </w:r>
      <w:r>
        <w:rPr>
          <w:rFonts w:ascii="David" w:cs="David" w:eastAsia="David" w:hAnsi="David"/>
          <w:b w:val="false"/>
          <w:bCs w:val="false"/>
          <w:i w:val="false"/>
          <w:iCs w:val="false"/>
          <w:sz w:val="24"/>
          <w:szCs w:val="24"/>
          <w:rtl/>
        </w:rPr>
        <w:t xml:space="preserve">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"עדן" הוא שמה העברי של הנתבעת, והביקור נערך עמה בדירה.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בהתאם לכך אף סומן בטבלה שבנספח 4, בשורת אותו ביקור, כי דייר ממשיך מתגורר בדירה. ובאותו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הכספים.</w:t>
      </w:r>
      <w:r>
        <w:rPr>
          <w:rFonts w:ascii="David" w:cs="David" w:eastAsia="David" w:hAnsi="David"/>
          <w:b w:val="false"/>
          <w:bCs w:val="false"/>
          <w:i w:val="false"/>
          <w:iCs w:val="false"/>
          <w:sz w:val="24"/>
          <w:szCs w:val="24"/>
          <w:rtl/>
        </w:rPr>
        <w:t xml:space="preserve"> ביום 23.7.2024, כחמישה חודשים לאחר הפטירה,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הסכום שולם (נספח א').</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ואולם ביום 17.9.2024, לאחר החלטת הוועדה, הוציאה התובעת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חויבה הדירה פעמיים (נספח ב').</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27.3.2025 שילמה הנתבעת 2,911.01 ₪ נוספים על פי שובר שהתובעת שלחה אליה (נספח ג'). אף לפי הכרטסת, מספר חודשי אי-התשלום הוא 12 מתוך למעלה מעשרים וארבעה.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20.</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נותר ריק; הפרק "החלטת הוועדה המחוזית" נושא שתי שורות בכתב יד שאינן קריאות בעותק שהומצא, ואין בהן דיון בתנאי החוק; והשדה "מצ"ב החלטת ועדה מיום ___" ריק, בעוד המסמך שאליו הוא מפנה לא הוצג.</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חובת ההנמקה קבועה בסעיף 2 לחוק לתיקון סדרי המינהל (החלטות והנמקות), התשי"ט-1958. והרובריקה שיועדה לסגן מנהל מרכז השירות, שבה אמורים היו להירשם אישורי משרד הבינוי והשיכון והממצאים, נותרה ריקה בכל שורותיה, בלא שם ובלא חתימה.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בכלל אותן שורות ריקות השדות "חסר דירה" ו"מומש סיוע בשכ"ד", שבהם נבחנת זכאותה העצמאית של הנתבעת לדירה ציבורית לפי הכללים - היא החלופה שבסעיף 3(ב) לחוק, אשר בהתקיימה רואים את הדייר הממשיך כמי שבא בנעלי הזכאי לכל דבר ועניין.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משכך, הקביעה שבסעיף 19 לכתב התביעה, ולפיה לא עמדה הנתבעת בתבחינים, אינה קביעה אלא הנחה. ומכל מקום, ועדה פנימית של התובעת אינה משרד הבינוי והשיכון.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24.</w:t>
      </w:r>
      <w:r>
        <w:rPr>
          <w:rFonts w:ascii="David" w:cs="David" w:eastAsia="David" w:hAnsi="David"/>
          <w:sz w:val="24"/>
          <w:szCs w:val="24"/>
          <w:rtl/>
        </w:rPr>
        <w:tab/>
      </w:r>
      <w:r>
        <w:rPr>
          <w:rFonts w:ascii="David" w:cs="David" w:eastAsia="David" w:hAnsi="David"/>
          <w:b/>
          <w:bCs/>
          <w:i w:val="false"/>
          <w:iCs w:val="false"/>
          <w:sz w:val="24"/>
          <w:szCs w:val="24"/>
          <w:rtl/>
        </w:rPr>
        <w:t xml:space="preserve">התשתית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 ביחס לביקור מיום 3.7.2024 נרשם בטבלה כי הדייר החוזי "גר: כן", ארבעה חודשים וחצי לאחר פטירתו.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ולגבי הביקור מיום 18.12.2023, האחרון בחיי המנוח, נרשם אצל הדייר הממשיך "לא"; ואילו 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[כך במקור].</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ואף על פי כן נושא אותו דוח דירוגי מצב מפורטים לכל חדרי הדירה, שלושה סימוני אישור ובהם "אני מאשר בחתימתי את כל הנתונים שבסיכום זה לאחר שקראתי אותו והבנתי אותו", וחותמת </w:t>
      </w:r>
      <w:r>
        <w:rPr>
          <w:rFonts w:ascii="David" w:cs="David" w:eastAsia="David" w:hAnsi="David"/>
          <w:b/>
          <w:bCs/>
          <w:i w:val="false"/>
          <w:iCs w:val="false"/>
          <w:sz w:val="24"/>
          <w:szCs w:val="24"/>
          <w:rtl/>
        </w:rPr>
        <w:t xml:space="preserve">"מסרב לחתום"</w:t>
      </w:r>
      <w:r>
        <w:rPr>
          <w:rFonts w:ascii="David" w:cs="David" w:eastAsia="David" w:hAnsi="David"/>
          <w:b w:val="false"/>
          <w:bCs w:val="false"/>
          <w:i w:val="false"/>
          <w:iCs w:val="false"/>
          <w:sz w:val="24"/>
          <w:szCs w:val="24"/>
          <w:rtl/>
        </w:rPr>
        <w:t xml:space="preserve">. קרי, בדיקה פנימית של הדירה כולה וקביעה פוזיטיבית, על יסוד ביקור שלא נערך. והמוקדם שברישומי הטבלה הוא מיום 11.8.2010, כך שביחס ליום 1.8.2009, נקודת המוצא של אמת המידה, אין בה דבר.</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27.</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 המנוח היה אז כבן שבעים ושמונה; הוא דובר אמהרית, לא ידע קרוא וכתוב ולא שלט בעברית.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מי שהחתימה אותו היא גב' נטלי לוגסי, מנהלת תיק הלקוח מטעם התובעת, שאינה דוברת אמהרית; ובדוח הביקור שערכה (עמ' 33) נרשם "ביקור בוצע ב 10/11/21", הוא יום החתימה.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בפרק "אישור חתימה" שבתחתית הטופס מציע הנוסח המודפס שתי חלופות, "לאחר שקרא/ה אותה" ו"הקראתי לו/ה", ואיש לא סימן איזו מהן התקיימה. אין בטופס זכר למתורגמן ואין בו אינדיקציה שתוכנו הובא לידיעת המנוח בשפה שהבין; וגוף הטופס כולו מודפס מראש, והמנוח לא הוסיף בו דבר מלבד חתימתו והתאריך.</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מסמך שהוחתם כך על אדם שאינו יודע קרוא וכתוב, מבלי שהוכח כי הוסבר לו בשפתו, אין ליתן בו משקל. הנתבעת שומרת על זכותה להתנגד להגשתו ולעתור להוצאתו מן התיק.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וסעיף 3 לטופס מגלה את תכליתו: כי ההצהרה "לא תאפשר לקרובי לטעון כי גרו איתי בדירה, לרבות לצורך הוכחת משך מגורים בדירה כדי להיחשב 'דיירים ממשיכים'".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ברם, המעמד שבחוק זכויות הדייר בדיור הציבורי קם לנתבעת מכוח דין, והיא לא היתה צד לאותו טופס. זכות סטטוטורית של מי שאינו חתום על הטופס אינה ניתנת לוויתור בידי החותם, ולו מטעמי תקנת הציבור שבסעיף 30 לחוק החוזים (חלק כללי), התשל"ג-1973. ומכל מקום עסקינן בטופס אחד ממועד אחד, שאין בו כדי ללמד על התקופה שקדמה לו או על זו שלאחריה.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33.</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בחודש יולי 2026 פנה האגף לשירותים חברתיים בעיריית פתח תקווה במכתב שעניינו הנתבעת (נספח ה'), המוכרת באותו אגף כנתמכת (נספח ו').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(נספח ז').</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ובסיפתו: </w:t>
      </w:r>
      <w:r>
        <w:rPr>
          <w:rFonts w:ascii="David" w:cs="David" w:eastAsia="David" w:hAnsi="David"/>
          <w:b/>
          <w:bCs/>
          <w:i w:val="false"/>
          <w:iCs w:val="false"/>
          <w:sz w:val="24"/>
          <w:szCs w:val="24"/>
          <w:rtl/>
        </w:rPr>
        <w:t xml:space="preserve">"נודה על כל התחשבות במצבה והימנעות מהוצאתה מהדירה בה מתגוררת מזה 30 שנה"</w:t>
      </w:r>
      <w:r>
        <w:rPr>
          <w:rFonts w:ascii="David" w:cs="David" w:eastAsia="David" w:hAnsi="David"/>
          <w:b w:val="false"/>
          <w:bCs w:val="false"/>
          <w:i w:val="false"/>
          <w:iCs w:val="false"/>
          <w:sz w:val="24"/>
          <w:szCs w:val="24"/>
          <w:rtl/>
        </w:rPr>
        <w:t xml:space="preserve">. וכבר בשנת 2013 פנתה הנתבעת בכתב אל משרד הבינוי והשיכון בבקשה לפתרון דיור, ותיארה כי אין לה קורת גג משלה וכי היא מתגוררת בשכירות; הפנייה נמסרה באמצעות מרכז אלונים, גורם רווחה ושיקום, ואושרה בחותמתו ביום 28.6.2013 (נספח 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לחומר זה משקל ישיר לעניין הזכאות העצמאית לפי סעיף 3(ב) ולעניין ההשבה. ואולם התובעת החליטה בלא שפנתה לגורמי הרווחה, בנספח 4 אין לו כל התייחסות, ועניינה של הנתבעת לא הובא בפני הוועדה לבחינת מקרים חריגים.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36.</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 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37.</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8, 13, 14 ו-17 אינו מוכחש ככל שהוא נוגע לזהות הצדדים והדירה, לסמכות, להשכרת הדירה למנוח ולמועד פטירתו; ומוכחשת כל מסקנה משפטית הנגזרת מהם. הנטען בסעיפים 2, 9, 10, 15 ו-16 מוכחש: הנתבעת לא פלשה ואינה מחזיקה שלא כדין, ולא נשלחו אליה התראות.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3, 4, 11, 18, 19, 21, 22 ו-23 מוכחש מן הטעמים המפורטים לעיל; אין הכחשה לעצם קיומו של המסמך שבנספח 4, ומוכחש כי מדובר בהחלטה שנתקבלה כדין. סעיפים 12 ו-20 אינם טענות שבעובדה הטעונות הכחשה, ואשר לסעיף 20 יוער כי הדיור הציבורי אכן נועד למי שידה אינה משגת, ותכלית זו מכוונת אל הנתבעת.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39.</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2013; ה' מכתב האגף לשירותים חברתיים, יולי 2026; ו' אישור הכרה כנתמכת; ז' אישור המוסד לביטוח לאומי; ח' בקשת ההכרה כדיירת ממשיכה; ט'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נגד טדילה וונדימאג'ן | תצהיר לפי טופס 5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לפי תקנה 79(א)(1) לתקנות.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שבכתב ההגנה, להבדיל מן הטענות המשפטיות ומן המסקנות שבו, נכונות וידועות לי מידיעתי האישית; והעובדות הנוגעות למסמכי התובעת ידועות לי מתוך המסמכים עצמם.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גדלתי בדירה והתגוררתי בה מילדותי, לרבות ביום 1.8.2009 וברציפות עד לשנת 2019. באותה שנה, על רקע מתח שנתגלע ביני לבין אבי, שכרתי דירה בסמוך.</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חדלתי לבקרו, סייעתי לו והכנתי עבורו אוכל. בסמוך לחודש דצמבר 2023 עזבתי את הדירה השכורה ועברתי לשהות לצדו ולסעוד אותו עד לפטירתו, ומאז אני מתגוררת בדירה ברציפות.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אבי המנוח, מר מנבר וונדימאג'ן ז"ל, ת.ז. 303214381, יליד 1943, עלה מאתיופיה בשנת 1991; הוא היה דובר אמהרית, לא ידע קרוא וכתוב ולא שלט בעברית.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"עדן" הוא שמי העברי.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אני נכה בשיעור 100% ואיני עובדת, מוכרת באגף לשירותים חברתיים בעיריית פתח תקווה וסמוכה על קצבת המוסד לביטוח לאומי; אין לי דירה בבעלותי ומעולם לא היתה לי.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בעניין מעמדי, לא הומצאה לי החלטה, ולא נמסרה לי הודעה מאת משרד הבינוי והשיכון בדבר אי-זכאותי לדירה ציבורית.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ט' לכתב ההגנה. אין בידי תכתובת בכתב מול התובעת, שכן פניותיי אליה נעשו בעל פה במשרדיה.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ת.ז. 303214373, ולאחר שהזהרתיה כי עליה לומר את האמת וכי תהיה צפויה לעונשים הקבועים בחוק אם לא תעשה כן, אישרה את נכונות הצהרתה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התאמה לכתב ההגנה בתביעת סילוק היד.</w:t>
      </w:r>
      <w:r>
        <w:rPr>
          <w:rFonts w:ascii="David" w:cs="David" w:eastAsia="David" w:hAnsi="David"/>
          <w:b w:val="false"/>
          <w:bCs w:val="false"/>
          <w:i w:val="false"/>
          <w:iCs w:val="false"/>
          <w:sz w:val="24"/>
          <w:szCs w:val="24"/>
          <w:rtl/>
        </w:rPr>
        <w:t xml:space="preserve"> הגרסה העובדתית שנקבעה - מגורים בדירה מילדות, לרבות ביום 1.8.2009 וברציפות עד שנת 2019; שכירת דירה בסמוך באותה שנה על רקע מתח עם האב, בלא נטישתו; שיבה אל הדירה בסמוך לדצמבר 2023 לשם סיעודו; ומגורים רצופים מאז - שולבה בחלק השני ובחלק השלישי לכתב הגנה זה ובתצהיר. יש לוודא שכתב ההגנה בת"א 12718-06-26 מוסר את אותה גרסה בדיוק, ובפרט את תקופת 2009 עד 2019 ואת הטעם למעבר, שכן הדיונים אוחדו.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לצרף את מכתב האגף לשירותים חברתיים בעיריית פתח תקווה (נספח ה') ולאמת מול המקור את הציטוטים שבכתב ההגנה. המכתב אינו נושא שם עובד ותפקיד ואינו נושא תאריך מדויק, ולכן נרשם בגוף כתב ההגנה לפי החודש בלבד. כן לצרף את אישור ההכרה כנתמכת (נספח ו') ואת אישור המוסד לביטוח לאומי בדבר נכות בשיעור 100% (נספח ז').</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לחיזוק הטענה נגדו נדרש: ראיה לכך שהמנוח לא ידע קרוא וכתוב ולא שלט בעברית (מסמכי עלייה וקליטה, רישומי אולפן, מסמכים רפואיים או סיעודיים, תצהירי בני משפחה ושכנים); ביסוס לטענה שגב' נטלי לוגסי אינה דוברת אמהרית, שאפשר להוכיחה גם בחקירתה; ושקילת בקשה נפרדת להוצאת המסמך מן התיק או להתנגדות להגשתו בפתח שמיעת הראיות.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לאיסוף ולצירוף: מרשם האוכלוסין ותמצית רישום לשנים 2009 עד 2019, חשבונות ודברי דואר שנשלחו לכתובת הדירה באותן שנים, חוזה השכירות של הדירה שנשכרה בשנת 2019 ומועד סיומו, מסמכים רפואיים מתקופת מחלת האב, ותצהירי שכנים מאותו בניין המכירים את הנתבעת ואת המנוח שנים רבות.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הנתבעת משנת 2013 (נספח ד'): כתב היד אינו קריא במלואו, והתיאור שבו נוגע גם לבני משפחה נוספים. יש לקרוא אותו עם הלקוחה ולוודא שהתיאור שבכתב ההגנה תואם את תוכנו במדויק, ובפרט שאינו סותר את האמור במכתב הרווחה מיולי 2026.</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התשס"ט-2009, ובפרט אם ארבע שנות המגורים הרצופות נדרשות עד למועד הפטירה או בתוך התקופה שמיום 1.8.2009; כן לאמת את סימון סעיף הקטן שבסעיף 2 לחוזה שעניינו הודעה בכתב שישים יום מראש.</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ט') ובקשת ההכרה כדיירת ממשיכה (נספח ח'). אם הבקשה אינה מצויה בידי הנתבעת, יש לפרט בתצהיר את הנסיבות (תקנה 79(א)(2) סיפא).</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2026-09-02T14:20:20.328Z</dcterms:created>
  <dcterms:modified xsi:type="dcterms:W3CDTF">2026-09-02T14:20:20.341Z</dcterms:modified>
</cp:coreProperties>
</file>

<file path=docProps/custom.xml><?xml version="1.0" encoding="utf-8"?>
<Properties xmlns="http://schemas.openxmlformats.org/officeDocument/2006/custom-properties" xmlns:vt="http://schemas.openxmlformats.org/officeDocument/2006/docPropsVTypes"/>
</file>