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0" w:line="276" w:lineRule="auto"/>
        <w:jc w:val="right"/>
      </w:pPr>
      <w:r>
        <w:rPr>
          <w:rFonts w:ascii="David" w:hAnsi="David" w:cs="David" w:eastAsia="David"/>
          <w:b/>
          <w:sz w:val="26"/>
          <w:u w:val="none"/>
          <w:rtl/>
          <w:bCs/>
          <w:szCs w:val="26"/>
        </w:rPr>
        <w:t>בבית המשפט לענייני משפחה בחדרה</w:t>
      </w:r>
    </w:p>
    <w:p>
      <w:pPr>
        <w:bidi/>
        <w:spacing w:after="0" w:line="276" w:lineRule="auto"/>
        <w:jc w:val="right"/>
      </w:pPr>
      <w:r>
        <w:rPr>
          <w:rFonts w:ascii="David" w:hAnsi="David" w:cs="David" w:eastAsia="David"/>
          <w:b/>
          <w:sz w:val="26"/>
          <w:u w:val="none"/>
          <w:rtl/>
          <w:bCs/>
          <w:szCs w:val="26"/>
        </w:rPr>
        <w:t>תלה"מ 83468-05-26</w:t>
      </w:r>
    </w:p>
    <w:p>
      <w:pPr>
        <w:bidi/>
        <w:spacing w:after="120" w:line="276" w:lineRule="auto"/>
        <w:jc w:val="right"/>
      </w:pPr>
      <w:r>
        <w:rPr>
          <w:rFonts w:ascii="David" w:hAnsi="David" w:cs="David" w:eastAsia="David"/>
          <w:b w:val="0"/>
          <w:sz w:val="24"/>
          <w:u w:val="none"/>
          <w:rtl/>
          <w:szCs w:val="24"/>
        </w:rPr>
        <w:t>בפני כב' השופט אורן אליעז</w:t>
      </w:r>
    </w:p>
    <w:p>
      <w:pPr>
        <w:bidi/>
        <w:spacing w:after="0" w:line="276" w:lineRule="auto"/>
        <w:jc w:val="right"/>
      </w:pPr>
      <w:r>
        <w:rPr>
          <w:rFonts w:ascii="David" w:hAnsi="David" w:cs="David" w:eastAsia="David"/>
          <w:b/>
          <w:sz w:val="24"/>
          <w:u w:val="none"/>
          <w:rtl/>
          <w:bCs/>
          <w:szCs w:val="24"/>
        </w:rPr>
        <w:t>המבקש:</w:t>
        <w:tab/>
        <w:tab/>
        <w:t>______________ (שם מלא), ת.ז. ______________</w:t>
      </w:r>
    </w:p>
    <w:p>
      <w:pPr>
        <w:bidi/>
        <w:spacing w:after="0" w:line="276" w:lineRule="auto"/>
        <w:jc w:val="right"/>
      </w:pPr>
      <w:r>
        <w:rPr>
          <w:rFonts w:ascii="David" w:hAnsi="David" w:cs="David" w:eastAsia="David"/>
          <w:b w:val="0"/>
          <w:sz w:val="24"/>
          <w:u w:val="none"/>
          <w:rtl/>
          <w:szCs w:val="24"/>
        </w:rPr>
        <w:tab/>
        <w:tab/>
        <w:tab/>
        <w:t>ע"י ב"כ עו"ד ______________, מ.ר. ______________</w:t>
      </w:r>
    </w:p>
    <w:p>
      <w:pPr>
        <w:bidi/>
        <w:spacing w:after="0" w:line="276" w:lineRule="auto"/>
        <w:jc w:val="right"/>
      </w:pPr>
      <w:r>
        <w:rPr>
          <w:rFonts w:ascii="David" w:hAnsi="David" w:cs="David" w:eastAsia="David"/>
          <w:b w:val="0"/>
          <w:sz w:val="24"/>
          <w:u w:val="none"/>
          <w:rtl/>
          <w:szCs w:val="24"/>
        </w:rPr>
        <w:tab/>
        <w:tab/>
        <w:tab/>
        <w:t>מרחוב ______________</w:t>
      </w:r>
    </w:p>
    <w:p>
      <w:pPr>
        <w:bidi/>
        <w:spacing w:after="200" w:line="276" w:lineRule="auto"/>
        <w:jc w:val="right"/>
      </w:pPr>
      <w:r>
        <w:rPr>
          <w:rFonts w:ascii="David" w:hAnsi="David" w:cs="David" w:eastAsia="David"/>
          <w:b w:val="0"/>
          <w:sz w:val="24"/>
          <w:u w:val="none"/>
          <w:rtl/>
          <w:szCs w:val="24"/>
        </w:rPr>
        <w:tab/>
        <w:tab/>
        <w:tab/>
        <w:t>טל' ______________ ; דוא"ל ______________</w:t>
      </w:r>
    </w:p>
    <w:p>
      <w:pPr>
        <w:bidi/>
        <w:spacing w:after="200" w:line="276" w:lineRule="auto"/>
        <w:jc w:val="center"/>
      </w:pPr>
      <w:r>
        <w:rPr>
          <w:rFonts w:ascii="David" w:hAnsi="David" w:cs="David" w:eastAsia="David"/>
          <w:b/>
          <w:sz w:val="24"/>
          <w:u w:val="none"/>
          <w:rtl/>
          <w:bCs/>
          <w:szCs w:val="24"/>
        </w:rPr>
        <w:t>- נ ג ד -</w:t>
      </w:r>
    </w:p>
    <w:p>
      <w:pPr>
        <w:bidi/>
        <w:spacing w:after="0" w:line="276" w:lineRule="auto"/>
        <w:jc w:val="right"/>
      </w:pPr>
      <w:r>
        <w:rPr>
          <w:rFonts w:ascii="David" w:hAnsi="David" w:cs="David" w:eastAsia="David"/>
          <w:b/>
          <w:sz w:val="24"/>
          <w:u w:val="none"/>
          <w:rtl/>
          <w:bCs/>
          <w:szCs w:val="24"/>
        </w:rPr>
        <w:t>המשיב:</w:t>
        <w:tab/>
        <w:tab/>
        <w:t>היועץ המשפטי לממשלה</w:t>
      </w:r>
    </w:p>
    <w:p>
      <w:pPr>
        <w:bidi/>
        <w:spacing w:after="160" w:line="276" w:lineRule="auto"/>
        <w:jc w:val="right"/>
      </w:pPr>
      <w:r>
        <w:rPr>
          <w:rFonts w:ascii="David" w:hAnsi="David" w:cs="David" w:eastAsia="David"/>
          <w:b w:val="0"/>
          <w:sz w:val="24"/>
          <w:u w:val="none"/>
          <w:rtl/>
          <w:szCs w:val="24"/>
        </w:rPr>
        <w:tab/>
        <w:tab/>
        <w:tab/>
        <w:t>באמצעות פרקליטות מחוז חיפה (אזרחי)</w:t>
      </w:r>
    </w:p>
    <w:p>
      <w:pPr>
        <w:bidi/>
        <w:spacing w:after="80" w:line="276" w:lineRule="auto"/>
        <w:jc w:val="center"/>
      </w:pPr>
      <w:r>
        <w:rPr>
          <w:rFonts w:ascii="David" w:hAnsi="David" w:cs="David" w:eastAsia="David"/>
          <w:b/>
          <w:sz w:val="30"/>
          <w:u w:val="single"/>
          <w:rtl/>
          <w:bCs/>
          <w:szCs w:val="30"/>
        </w:rPr>
        <w:t>בקשה לקביעת מועד דיון</w:t>
      </w:r>
    </w:p>
    <w:p>
      <w:pPr>
        <w:bidi/>
        <w:spacing w:after="120" w:line="276" w:lineRule="auto"/>
        <w:jc w:val="center"/>
      </w:pPr>
      <w:r>
        <w:rPr>
          <w:rFonts w:ascii="David" w:hAnsi="David" w:cs="David" w:eastAsia="David"/>
          <w:b w:val="0"/>
          <w:sz w:val="24"/>
          <w:u w:val="none"/>
          <w:rtl/>
          <w:szCs w:val="24"/>
        </w:rPr>
        <w:t>(בהתאם להחלטת בית המשפט הנכבד מיום 06.08.2026)</w:t>
      </w:r>
    </w:p>
    <w:p>
      <w:pPr>
        <w:bidi/>
        <w:spacing w:after="120" w:line="276" w:lineRule="auto"/>
        <w:jc w:val="both"/>
      </w:pPr>
      <w:r>
        <w:rPr>
          <w:rFonts w:ascii="David" w:hAnsi="David" w:cs="David" w:eastAsia="David"/>
          <w:b w:val="0"/>
          <w:sz w:val="24"/>
          <w:u w:val="none"/>
          <w:rtl/>
          <w:szCs w:val="24"/>
        </w:rPr>
        <w:t>בית המשפט הנכבד מתבקש לקבוע את התיק לדיון במועד הקרוב ביותר, כפי שהורה בהחלטתו מיום 06.08.2026, ולהורות למשיב להגיש את עמדתו בכתב לפני הדיון. ואלה נימוקי הבקשה:</w:t>
      </w:r>
    </w:p>
    <w:p>
      <w:pPr>
        <w:bidi/>
        <w:spacing w:after="120" w:line="276" w:lineRule="auto"/>
        <w:ind w:right="510" w:hanging="510"/>
        <w:jc w:val="both"/>
      </w:pPr>
      <w:r>
        <w:rPr>
          <w:rFonts w:ascii="David" w:hAnsi="David" w:cs="David" w:eastAsia="David"/>
          <w:b w:val="0"/>
          <w:sz w:val="24"/>
          <w:u w:val="none"/>
          <w:rtl/>
          <w:szCs w:val="24"/>
        </w:rPr>
        <w:t>1.</w:t>
        <w:tab/>
      </w:r>
      <w:r>
        <w:rPr>
          <w:rFonts w:ascii="David" w:hAnsi="David" w:cs="David" w:eastAsia="David"/>
          <w:b w:val="0"/>
          <w:sz w:val="24"/>
          <w:u w:val="none"/>
          <w:rtl/>
          <w:szCs w:val="24"/>
        </w:rPr>
        <w:t xml:space="preserve">ביום 06.08.2026 הורה בית המשפט הנכבד, בהחלטתו בבקשה 1, כי </w:t>
      </w:r>
      <w:r>
        <w:rPr>
          <w:rFonts w:ascii="David" w:hAnsi="David" w:cs="David" w:eastAsia="David"/>
          <w:b/>
          <w:sz w:val="24"/>
          <w:u w:val="none"/>
          <w:rtl/>
          <w:bCs/>
          <w:szCs w:val="24"/>
        </w:rPr>
        <w:t>"ככל ולא תוגש תגובה עד ליום 10.9.2026 ייקבע מועד לדיון לצורך קבלת עמדת ב"כ היועמ"ש"</w:t>
      </w:r>
      <w:r>
        <w:rPr>
          <w:rFonts w:ascii="David" w:hAnsi="David" w:cs="David" w:eastAsia="David"/>
          <w:b w:val="0"/>
          <w:sz w:val="24"/>
          <w:u w:val="none"/>
          <w:rtl/>
          <w:szCs w:val="24"/>
        </w:rPr>
        <w:t>.</w:t>
      </w:r>
    </w:p>
    <w:p>
      <w:pPr>
        <w:bidi/>
        <w:spacing w:after="120" w:line="276" w:lineRule="auto"/>
        <w:ind w:right="510" w:hanging="510"/>
        <w:jc w:val="both"/>
      </w:pPr>
      <w:r>
        <w:rPr>
          <w:rFonts w:ascii="David" w:hAnsi="David" w:cs="David" w:eastAsia="David"/>
          <w:b w:val="0"/>
          <w:sz w:val="24"/>
          <w:u w:val="none"/>
          <w:rtl/>
          <w:szCs w:val="24"/>
        </w:rPr>
        <w:t>2.</w:t>
        <w:tab/>
      </w:r>
      <w:r>
        <w:rPr>
          <w:rFonts w:ascii="David" w:hAnsi="David" w:cs="David" w:eastAsia="David"/>
          <w:b w:val="0"/>
          <w:sz w:val="24"/>
          <w:u w:val="none"/>
          <w:rtl/>
          <w:szCs w:val="24"/>
        </w:rPr>
        <w:t>המועד חלף לפני למעלה מחודש. לא הוגשה תגובה, לא התבקשה ארכה, ומועד דיון טרם נקבע. התנאי שקבע בית המשפט התקיים במלואו, והתוצאה נקבעה בהחלטה עצמה: קביעת התיק לדיון.</w:t>
      </w:r>
    </w:p>
    <w:p>
      <w:pPr>
        <w:bidi/>
        <w:spacing w:after="120" w:line="276" w:lineRule="auto"/>
        <w:ind w:right="510" w:hanging="510"/>
        <w:jc w:val="both"/>
      </w:pPr>
      <w:r>
        <w:rPr>
          <w:rFonts w:ascii="David" w:hAnsi="David" w:cs="David" w:eastAsia="David"/>
          <w:b w:val="0"/>
          <w:sz w:val="24"/>
          <w:u w:val="none"/>
          <w:rtl/>
          <w:szCs w:val="24"/>
        </w:rPr>
        <w:t>3.</w:t>
        <w:tab/>
      </w:r>
      <w:r>
        <w:rPr>
          <w:rFonts w:ascii="David" w:hAnsi="David" w:cs="David" w:eastAsia="David"/>
          <w:b w:val="0"/>
          <w:sz w:val="24"/>
          <w:u w:val="none"/>
          <w:rtl/>
          <w:szCs w:val="24"/>
        </w:rPr>
        <w:t>הבקשה לקביעת גיל הוגשה בחודש מאי 2026, והיא נתמכת בתעודת לידה רשמית ובתצהיר אבי המבקש. מאז חלפו כחמישה חודשים, ובינתיים ממשיך המבקש לשאת ברישום שגוי של שנת לידתו, הרושם אותו כצעיר מאחיו שנולדו אחריו.</w:t>
      </w:r>
    </w:p>
    <w:p>
      <w:pPr>
        <w:bidi/>
        <w:spacing w:after="120" w:line="276" w:lineRule="auto"/>
        <w:ind w:right="510" w:hanging="510"/>
        <w:jc w:val="both"/>
      </w:pPr>
      <w:r>
        <w:rPr>
          <w:rFonts w:ascii="David" w:hAnsi="David" w:cs="David" w:eastAsia="David"/>
          <w:b w:val="0"/>
          <w:sz w:val="24"/>
          <w:u w:val="none"/>
          <w:rtl/>
          <w:szCs w:val="24"/>
        </w:rPr>
        <w:t>4.</w:t>
        <w:tab/>
      </w:r>
      <w:r>
        <w:rPr>
          <w:rFonts w:ascii="David" w:hAnsi="David" w:cs="David" w:eastAsia="David"/>
          <w:b w:val="0"/>
          <w:sz w:val="24"/>
          <w:u w:val="none"/>
          <w:rtl/>
          <w:szCs w:val="24"/>
        </w:rPr>
        <w:t>המשיב אינו רשאי לעכב את ההליך באמצעות שתיקה. מעמדו כמשיב פורמלי מחייב הקפדה יתרה על מועדים, ולא הימנעות מהם.</w:t>
      </w:r>
    </w:p>
    <w:p>
      <w:pPr>
        <w:bidi/>
        <w:spacing w:after="120" w:line="276" w:lineRule="auto"/>
        <w:ind w:right="510" w:hanging="510"/>
        <w:jc w:val="both"/>
      </w:pPr>
      <w:r>
        <w:rPr>
          <w:rFonts w:ascii="David" w:hAnsi="David" w:cs="David" w:eastAsia="David"/>
          <w:b w:val="0"/>
          <w:sz w:val="24"/>
          <w:u w:val="none"/>
          <w:rtl/>
          <w:szCs w:val="24"/>
        </w:rPr>
        <w:t>5.</w:t>
        <w:tab/>
      </w:r>
      <w:r>
        <w:rPr>
          <w:rFonts w:ascii="David" w:hAnsi="David" w:cs="David" w:eastAsia="David"/>
          <w:b w:val="0"/>
          <w:sz w:val="24"/>
          <w:u w:val="none"/>
          <w:rtl/>
          <w:szCs w:val="24"/>
        </w:rPr>
        <w:t>הואיל ובקשה זו אינה אלא יישום החלטה קיימת של בית המשפט הנכבד, מתבקש ליתן בה החלטה ללא צורך בתגובה.</w:t>
      </w:r>
    </w:p>
    <w:p>
      <w:pPr>
        <w:bidi/>
        <w:spacing w:after="120" w:line="276" w:lineRule="auto"/>
        <w:jc w:val="right"/>
      </w:pPr>
      <w:r>
        <w:rPr>
          <w:rFonts w:ascii="David" w:hAnsi="David" w:cs="David" w:eastAsia="David"/>
          <w:b/>
          <w:sz w:val="24"/>
          <w:u w:val="none"/>
          <w:rtl/>
          <w:bCs/>
          <w:szCs w:val="24"/>
        </w:rPr>
        <w:t>אשר על כן, מתבקש בית המשפט הנכבד:</w:t>
      </w:r>
    </w:p>
    <w:p>
      <w:pPr>
        <w:bidi/>
        <w:spacing w:after="80" w:line="276" w:lineRule="auto"/>
        <w:ind w:right="510" w:hanging="510"/>
        <w:jc w:val="both"/>
      </w:pPr>
      <w:r>
        <w:rPr>
          <w:rFonts w:ascii="David" w:hAnsi="David" w:cs="David" w:eastAsia="David"/>
          <w:b w:val="0"/>
          <w:sz w:val="24"/>
          <w:u w:val="none"/>
          <w:rtl/>
          <w:szCs w:val="24"/>
        </w:rPr>
        <w:t>א.</w:t>
        <w:tab/>
        <w:t>לקבוע את התיק לדיון במועד הקרוב ביותר, בהתאם להחלטתו מיום 06.08.2026.</w:t>
      </w:r>
    </w:p>
    <w:p>
      <w:pPr>
        <w:bidi/>
        <w:spacing w:after="80" w:line="276" w:lineRule="auto"/>
        <w:ind w:right="510" w:hanging="510"/>
        <w:jc w:val="both"/>
      </w:pPr>
      <w:r>
        <w:rPr>
          <w:rFonts w:ascii="David" w:hAnsi="David" w:cs="David" w:eastAsia="David"/>
          <w:b w:val="0"/>
          <w:sz w:val="24"/>
          <w:u w:val="none"/>
          <w:rtl/>
          <w:szCs w:val="24"/>
        </w:rPr>
        <w:t>ב.</w:t>
        <w:tab/>
        <w:t>להורות למשיב להגיש את עמדתו בכתב לא יאוחר מ-7 ימים לפני מועד הדיון, ולהתייצב לדיון באמצעות בא כוחו.</w:t>
      </w:r>
    </w:p>
    <w:p>
      <w:pPr>
        <w:bidi/>
        <w:spacing w:after="80" w:line="276" w:lineRule="auto"/>
        <w:ind w:right="510" w:hanging="510"/>
        <w:jc w:val="both"/>
      </w:pPr>
      <w:r>
        <w:rPr>
          <w:rFonts w:ascii="David" w:hAnsi="David" w:cs="David" w:eastAsia="David"/>
          <w:b w:val="0"/>
          <w:sz w:val="24"/>
          <w:u w:val="none"/>
          <w:rtl/>
          <w:szCs w:val="24"/>
        </w:rPr>
        <w:t>ג.</w:t>
        <w:tab/>
        <w:t>לחלופין, ככל שהמשיב לא יגיש עמדה במועד, ליתן פסק דין על יסוד הבקשה והראיות שצורפו לה.</w:t>
      </w:r>
    </w:p>
    <w:p>
      <w:pPr>
        <w:bidi/>
        <w:spacing w:after="200" w:line="276" w:lineRule="auto"/>
        <w:jc w:val="right"/>
      </w:pPr>
      <w:r>
        <w:rPr>
          <w:rFonts w:ascii="David" w:hAnsi="David" w:cs="David" w:eastAsia="David"/>
          <w:b w:val="0"/>
          <w:sz w:val="24"/>
          <w:u w:val="none"/>
          <w:rtl/>
          <w:szCs w:val="24"/>
        </w:rPr>
        <w:t>תאריך: 12.10.2026</w:t>
      </w:r>
    </w:p>
    <w:p>
      <w:pPr>
        <w:bidi/>
        <w:spacing w:after="0" w:line="276" w:lineRule="auto"/>
        <w:jc w:val="right"/>
      </w:pPr>
      <w:r>
        <w:rPr>
          <w:rFonts w:ascii="David" w:hAnsi="David" w:cs="David" w:eastAsia="David"/>
          <w:b w:val="0"/>
          <w:sz w:val="24"/>
          <w:u w:val="none"/>
          <w:rtl/>
          <w:szCs w:val="24"/>
        </w:rPr>
        <w:t>_______________________</w:t>
      </w:r>
    </w:p>
    <w:p>
      <w:pPr>
        <w:bidi/>
        <w:spacing w:after="0" w:line="276" w:lineRule="auto"/>
        <w:jc w:val="right"/>
      </w:pPr>
      <w:r>
        <w:rPr>
          <w:rFonts w:ascii="David" w:hAnsi="David" w:cs="David" w:eastAsia="David"/>
          <w:b w:val="0"/>
          <w:sz w:val="24"/>
          <w:u w:val="none"/>
          <w:rtl/>
          <w:szCs w:val="24"/>
        </w:rPr>
        <w:t>______________, עו"ד</w:t>
      </w:r>
    </w:p>
    <w:p>
      <w:pPr>
        <w:bidi/>
        <w:spacing w:after="0" w:line="276" w:lineRule="auto"/>
        <w:jc w:val="right"/>
      </w:pPr>
      <w:r>
        <w:rPr>
          <w:rFonts w:ascii="David" w:hAnsi="David" w:cs="David" w:eastAsia="David"/>
          <w:b w:val="0"/>
          <w:sz w:val="24"/>
          <w:u w:val="none"/>
          <w:rtl/>
          <w:szCs w:val="24"/>
        </w:rPr>
        <w:t>ב"כ המבקש</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