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start"/>
            </w:pPr>
            <w:r>
              <w:rPr>
                <w:rFonts w:ascii="David" w:cs="David" w:eastAsia="David" w:hAnsi="David"/>
                <w:b/>
                <w:bCs/>
                <w:i w:val="false"/>
                <w:iCs w:val="false"/>
                <w:sz w:val="26"/>
                <w:szCs w:val="26"/>
                <w:rtl/>
              </w:rPr>
              <w:t xml:space="preserve">בבית משפט השלום בפתח תקווה</w:t>
            </w:r>
          </w:p>
        </w:tc>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6"/>
                <w:szCs w:val="26"/>
                <w:rtl/>
              </w:rPr>
              <w:t xml:space="preserve">ת"א ______________</w:t>
            </w:r>
          </w:p>
        </w:tc>
      </w:tr>
    </w:tbl>
    <w:p>
      <w:pPr>
        <w:bidi/>
        <w:spacing w:after="120" w:before="0" w:line="360" w:lineRule="auto"/>
        <w:jc w:val="both"/>
      </w:pP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עמידר, החברה הלאומית לשיכון בישראל בע"מ, ח.פ. 520017393</w:t>
            </w:r>
          </w:p>
          <w:p>
            <w:pPr>
              <w:bidi/>
              <w:spacing w:line="300" w:lineRule="auto"/>
              <w:jc w:val="start"/>
            </w:pPr>
            <w:r>
              <w:rPr>
                <w:rFonts w:ascii="David" w:cs="David" w:eastAsia="David" w:hAnsi="David"/>
                <w:b w:val="false"/>
                <w:bCs w:val="false"/>
                <w:i w:val="false"/>
                <w:iCs w:val="false"/>
                <w:sz w:val="24"/>
                <w:szCs w:val="24"/>
                <w:rtl/>
              </w:rPr>
              <w:t xml:space="preserve">ע"י ב"כ עוה"ד ליאור סיגון (מ.ר. 57413) ו/או ג'וזף דוד (מ.ר. 82574) ואח'</w:t>
            </w:r>
          </w:p>
          <w:p>
            <w:pPr>
              <w:bidi/>
              <w:spacing w:line="300" w:lineRule="auto"/>
              <w:jc w:val="start"/>
            </w:pPr>
            <w:r>
              <w:rPr>
                <w:rFonts w:ascii="David" w:cs="David" w:eastAsia="David" w:hAnsi="David"/>
                <w:b w:val="false"/>
                <w:bCs w:val="false"/>
                <w:i w:val="false"/>
                <w:iCs w:val="false"/>
                <w:sz w:val="24"/>
                <w:szCs w:val="24"/>
                <w:rtl/>
              </w:rPr>
              <w:t xml:space="preserve">מרח' מצדה 9, מגדל ב.ס.ר 3, קומה 6</w:t>
            </w:r>
          </w:p>
          <w:p>
            <w:pPr>
              <w:bidi/>
              <w:spacing w:line="300" w:lineRule="auto"/>
              <w:jc w:val="start"/>
            </w:pPr>
            <w:r>
              <w:rPr>
                <w:rFonts w:ascii="David" w:cs="David" w:eastAsia="David" w:hAnsi="David"/>
                <w:b w:val="false"/>
                <w:bCs w:val="false"/>
                <w:i w:val="false"/>
                <w:iCs w:val="false"/>
                <w:sz w:val="24"/>
                <w:szCs w:val="24"/>
                <w:rtl/>
              </w:rPr>
              <w:t xml:space="preserve">טל': 03-9451451; פקס: 03-9457457; דוא"ל: joseph@adv-david.co.il</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התובעת</w:t>
            </w:r>
          </w:p>
        </w:tc>
      </w:tr>
    </w:tbl>
    <w:p>
      <w:pPr>
        <w:bidi/>
        <w:spacing w:after="100" w:before="100"/>
        <w:jc w:val="center"/>
      </w:pPr>
      <w:r>
        <w:rPr>
          <w:rFonts w:ascii="David" w:cs="David" w:eastAsia="David" w:hAnsi="David"/>
          <w:b/>
          <w:bCs/>
          <w:i w:val="false"/>
          <w:iCs w:val="false"/>
          <w:sz w:val="24"/>
          <w:szCs w:val="24"/>
          <w:rtl/>
        </w:rPr>
        <w:t xml:space="preserve">- נ ג ד -</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טדילה וונדימאג'ן, ת.ז. 303214373</w:t>
            </w:r>
          </w:p>
          <w:p>
            <w:pPr>
              <w:bidi/>
              <w:spacing w:line="300" w:lineRule="auto"/>
              <w:jc w:val="start"/>
            </w:pPr>
            <w:r>
              <w:rPr>
                <w:rFonts w:ascii="David" w:cs="David" w:eastAsia="David" w:hAnsi="David"/>
                <w:b w:val="false"/>
                <w:bCs w:val="false"/>
                <w:i w:val="false"/>
                <w:iCs w:val="false"/>
                <w:sz w:val="24"/>
                <w:szCs w:val="24"/>
                <w:rtl/>
              </w:rPr>
              <w:t xml:space="preserve">מרח' צה"ל 72/6, פתח תקווה; טל': 050-2213355</w:t>
            </w:r>
          </w:p>
          <w:p>
            <w:pPr>
              <w:bidi/>
              <w:spacing w:line="300" w:lineRule="auto"/>
              <w:jc w:val="start"/>
            </w:pPr>
            <w:r>
              <w:rPr>
                <w:rFonts w:ascii="David" w:cs="David" w:eastAsia="David" w:hAnsi="David"/>
                <w:b w:val="false"/>
                <w:bCs w:val="false"/>
                <w:i w:val="false"/>
                <w:iCs w:val="false"/>
                <w:sz w:val="24"/>
                <w:szCs w:val="24"/>
                <w:rtl/>
              </w:rPr>
              <w:t xml:space="preserve">ע"י ב"כ עו"ד ____________________, מ.ר. __________</w:t>
            </w:r>
          </w:p>
          <w:p>
            <w:pPr>
              <w:bidi/>
              <w:spacing w:line="300" w:lineRule="auto"/>
              <w:jc w:val="start"/>
            </w:pPr>
            <w:r>
              <w:rPr>
                <w:rFonts w:ascii="David" w:cs="David" w:eastAsia="David" w:hAnsi="David"/>
                <w:b w:val="false"/>
                <w:bCs w:val="false"/>
                <w:i w:val="false"/>
                <w:iCs w:val="false"/>
                <w:sz w:val="24"/>
                <w:szCs w:val="24"/>
                <w:rtl/>
              </w:rPr>
              <w:t xml:space="preserve">מרח' ____________________; טל': ____________; דוא"ל: ____________</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הנתבעת</w:t>
            </w:r>
          </w:p>
        </w:tc>
      </w:tr>
    </w:tbl>
    <w:p>
      <w:pPr>
        <w:keepNext/>
        <w:keepLines/>
        <w:bidi/>
        <w:spacing w:after="320" w:before="340" w:line="360" w:lineRule="auto"/>
        <w:jc w:val="center"/>
      </w:pPr>
      <w:r>
        <w:rPr>
          <w:rFonts w:ascii="David" w:cs="David" w:eastAsia="David" w:hAnsi="David"/>
          <w:b/>
          <w:bCs/>
          <w:i w:val="false"/>
          <w:iCs w:val="false"/>
          <w:sz w:val="32"/>
          <w:szCs w:val="32"/>
          <w:u w:val="single"/>
          <w:rtl/>
        </w:rPr>
        <w:t xml:space="preserve">כתב הגנה</w:t>
      </w:r>
    </w:p>
    <w:p>
      <w:pPr>
        <w:bidi/>
        <w:spacing w:after="80" w:before="0" w:line="360" w:lineRule="auto"/>
        <w:jc w:val="both"/>
      </w:pPr>
      <w:r>
        <w:rPr>
          <w:rFonts w:ascii="David" w:cs="David" w:eastAsia="David" w:hAnsi="David"/>
          <w:b/>
          <w:bCs/>
          <w:i w:val="false"/>
          <w:iCs w:val="false"/>
          <w:sz w:val="24"/>
          <w:szCs w:val="24"/>
          <w:rtl/>
        </w:rPr>
        <w:t xml:space="preserve">מהות התביעה: </w:t>
      </w:r>
      <w:r>
        <w:rPr>
          <w:rFonts w:ascii="David" w:cs="David" w:eastAsia="David" w:hAnsi="David"/>
          <w:b w:val="false"/>
          <w:bCs w:val="false"/>
          <w:i w:val="false"/>
          <w:iCs w:val="false"/>
          <w:sz w:val="24"/>
          <w:szCs w:val="24"/>
          <w:rtl/>
        </w:rPr>
        <w:t xml:space="preserve">כספית.</w:t>
      </w:r>
    </w:p>
    <w:p>
      <w:pPr>
        <w:bidi/>
        <w:spacing w:after="80" w:before="0" w:line="360" w:lineRule="auto"/>
        <w:jc w:val="both"/>
      </w:pPr>
      <w:r>
        <w:rPr>
          <w:rFonts w:ascii="David" w:cs="David" w:eastAsia="David" w:hAnsi="David"/>
          <w:b/>
          <w:bCs/>
          <w:i w:val="false"/>
          <w:iCs w:val="false"/>
          <w:sz w:val="24"/>
          <w:szCs w:val="24"/>
          <w:rtl/>
        </w:rPr>
        <w:t xml:space="preserve">סכום התביעה: </w:t>
      </w:r>
      <w:r>
        <w:rPr>
          <w:rFonts w:ascii="David" w:cs="David" w:eastAsia="David" w:hAnsi="David"/>
          <w:b w:val="false"/>
          <w:bCs w:val="false"/>
          <w:i w:val="false"/>
          <w:iCs w:val="false"/>
          <w:sz w:val="24"/>
          <w:szCs w:val="24"/>
          <w:rtl/>
        </w:rPr>
        <w:t xml:space="preserve">36,533.38 ₪.</w:t>
      </w:r>
    </w:p>
    <w:p>
      <w:pPr>
        <w:bidi/>
        <w:spacing w:after="80" w:before="0" w:line="360" w:lineRule="auto"/>
        <w:jc w:val="both"/>
      </w:pPr>
      <w:r>
        <w:rPr>
          <w:rFonts w:ascii="David" w:cs="David" w:eastAsia="David" w:hAnsi="David"/>
          <w:b/>
          <w:bCs/>
          <w:i w:val="false"/>
          <w:iCs w:val="false"/>
          <w:sz w:val="24"/>
          <w:szCs w:val="24"/>
          <w:rtl/>
        </w:rPr>
        <w:t xml:space="preserve">מסלול הדיון: </w:t>
      </w:r>
      <w:r>
        <w:rPr>
          <w:rFonts w:ascii="David" w:cs="David" w:eastAsia="David" w:hAnsi="David"/>
          <w:b w:val="false"/>
          <w:bCs w:val="false"/>
          <w:i w:val="false"/>
          <w:iCs w:val="false"/>
          <w:sz w:val="24"/>
          <w:szCs w:val="24"/>
          <w:rtl/>
        </w:rPr>
        <w:t xml:space="preserve">דיון מהיר, לפי תקנה 78(א)(1) לתקנות סדר הדין האזרחי, התשע"ט-2018, כפי שמצהירה התובעת עצמה בתצהיר התומך שצורף כנספח 6 לכתב התביעה.</w:t>
      </w:r>
    </w:p>
    <w:p>
      <w:pPr>
        <w:bidi/>
        <w:spacing w:after="80" w:before="0" w:line="360" w:lineRule="auto"/>
        <w:jc w:val="both"/>
      </w:pPr>
      <w:r>
        <w:rPr>
          <w:rFonts w:ascii="David" w:cs="David" w:eastAsia="David" w:hAnsi="David"/>
          <w:b/>
          <w:bCs/>
          <w:i w:val="false"/>
          <w:iCs w:val="false"/>
          <w:sz w:val="24"/>
          <w:szCs w:val="24"/>
          <w:rtl/>
        </w:rPr>
        <w:t xml:space="preserve">מועד המצאת כתב התביעה לנתבעת: </w:t>
      </w:r>
      <w:r>
        <w:rPr>
          <w:rFonts w:ascii="David" w:cs="David" w:eastAsia="David" w:hAnsi="David"/>
          <w:b w:val="false"/>
          <w:bCs w:val="false"/>
          <w:i w:val="false"/>
          <w:iCs w:val="false"/>
          <w:sz w:val="24"/>
          <w:szCs w:val="24"/>
          <w:rtl/>
        </w:rPr>
        <w:t xml:space="preserve">יום ______________.</w:t>
      </w:r>
    </w:p>
    <w:p>
      <w:pPr>
        <w:bidi/>
        <w:spacing w:after="80" w:before="0" w:line="360" w:lineRule="auto"/>
        <w:jc w:val="both"/>
      </w:pPr>
      <w:r>
        <w:rPr>
          <w:rFonts w:ascii="David" w:cs="David" w:eastAsia="David" w:hAnsi="David"/>
          <w:b/>
          <w:bCs/>
          <w:i w:val="false"/>
          <w:iCs w:val="false"/>
          <w:sz w:val="24"/>
          <w:szCs w:val="24"/>
          <w:rtl/>
        </w:rPr>
        <w:t xml:space="preserve">מועד אחרון להגשת כתב ההגנה: </w:t>
      </w:r>
      <w:r>
        <w:rPr>
          <w:rFonts w:ascii="David" w:cs="David" w:eastAsia="David" w:hAnsi="David"/>
          <w:b w:val="false"/>
          <w:bCs w:val="false"/>
          <w:i w:val="false"/>
          <w:iCs w:val="false"/>
          <w:sz w:val="24"/>
          <w:szCs w:val="24"/>
          <w:rtl/>
        </w:rPr>
        <w:t xml:space="preserve">יום ______________ (45 ימים ממועד ההמצאה, לפי תקנה 80(א) לתקנות, ולא 60 ימים כנקוב בהזמנה לדין שבכתב התביעה).</w:t>
      </w:r>
    </w:p>
    <w:p>
      <w:pPr>
        <w:bidi/>
        <w:spacing w:after="80" w:before="0" w:line="360" w:lineRule="auto"/>
        <w:jc w:val="both"/>
      </w:pPr>
      <w:r>
        <w:rPr>
          <w:rFonts w:ascii="David" w:cs="David" w:eastAsia="David" w:hAnsi="David"/>
          <w:b/>
          <w:bCs/>
          <w:i w:val="false"/>
          <w:iCs w:val="false"/>
          <w:sz w:val="24"/>
          <w:szCs w:val="24"/>
          <w:rtl/>
        </w:rPr>
        <w:t xml:space="preserve">דבר קיומו של הליך נוסף: </w:t>
      </w:r>
      <w:r>
        <w:rPr>
          <w:rFonts w:ascii="David" w:cs="David" w:eastAsia="David" w:hAnsi="David"/>
          <w:b w:val="false"/>
          <w:bCs w:val="false"/>
          <w:i w:val="false"/>
          <w:iCs w:val="false"/>
          <w:sz w:val="24"/>
          <w:szCs w:val="24"/>
          <w:rtl/>
        </w:rPr>
        <w:t xml:space="preserve">ת"א 12718-06-26, תביעה לסילוק יד המתנהלת בבית משפט נכבד זה בין אותם בעלי דין, ואשר התובעת עצמה מודה בעמוד השער לכתב תביעתה כי הוגשה "בגין אותה מסכת עובדתית".</w:t>
      </w:r>
    </w:p>
    <w:p>
      <w:pPr>
        <w:bidi/>
        <w:spacing w:after="120" w:before="200" w:line="360" w:lineRule="auto"/>
        <w:jc w:val="both"/>
      </w:pPr>
      <w:r>
        <w:rPr>
          <w:rFonts w:ascii="David" w:cs="David" w:eastAsia="David" w:hAnsi="David"/>
          <w:b w:val="false"/>
          <w:bCs w:val="false"/>
          <w:i w:val="false"/>
          <w:iCs w:val="false"/>
          <w:sz w:val="24"/>
          <w:szCs w:val="24"/>
          <w:rtl/>
        </w:rPr>
        <w:t xml:space="preserve">הנתבעת, טדילה וונדימאג'ן, מתכבדת להגיש כתב הגנה מטעמה. הנתבעת תיוצג על ידי בא כוחה שבכותרת, וכתובתה להמצאת כתבי בי-דין הינה כמצוין בכותרת. </w:t>
      </w:r>
      <w:r>
        <w:rPr>
          <w:rFonts w:ascii="David" w:cs="David" w:eastAsia="David" w:hAnsi="David"/>
          <w:b/>
          <w:bCs/>
          <w:i w:val="false"/>
          <w:iCs w:val="false"/>
          <w:sz w:val="24"/>
          <w:szCs w:val="24"/>
          <w:rtl/>
        </w:rPr>
        <w:t xml:space="preserve">כל הטענות הנטענות בכתב התביעה מוכחשות, למעט אם צוין במפורש אחרת.</w:t>
      </w:r>
    </w:p>
    <w:p>
      <w:pPr>
        <w:keepNext/>
        <w:keepLines/>
        <w:bidi/>
        <w:spacing w:after="200" w:before="320" w:line="360" w:lineRule="auto"/>
        <w:jc w:val="center"/>
      </w:pPr>
      <w:r>
        <w:rPr>
          <w:rFonts w:ascii="David" w:cs="David" w:eastAsia="David" w:hAnsi="David"/>
          <w:b/>
          <w:bCs/>
          <w:i w:val="false"/>
          <w:iCs w:val="false"/>
          <w:sz w:val="26"/>
          <w:szCs w:val="26"/>
          <w:u w:val="single"/>
          <w:rtl/>
        </w:rPr>
        <w:t xml:space="preserve">חלק שני - עיקר הטענות</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פתח דבר</w:t>
      </w:r>
    </w:p>
    <w:p>
      <w:pPr>
        <w:bidi/>
        <w:spacing w:after="160" w:line="360" w:lineRule="auto"/>
        <w:ind w:start="680" w:end="200"/>
        <w:jc w:val="both"/>
      </w:pPr>
      <w:r>
        <w:rPr>
          <w:rFonts w:ascii="David" w:cs="David" w:eastAsia="David" w:hAnsi="David"/>
          <w:b w:val="false"/>
          <w:bCs w:val="false"/>
          <w:i/>
          <w:iCs/>
          <w:sz w:val="24"/>
          <w:szCs w:val="24"/>
          <w:highlight w:val="yellow"/>
          <w:highlightCs w:val="yellow"/>
          <w:rtl/>
        </w:rPr>
        <w:t xml:space="preserve">[צ'ק-ליסט להשלמה לפני הגשה, למחיקה בתום ההשלמה: (1) מספר התיק בכותרת; (2) שם עוה"ד, מספר רישיון, מען ופרטי התקשרות; (3) מועד המצאת כתב התביעה והמועד האחרון להגשה; (4) פרטי מכתב הרווחה בפרק ד'; (5) תקופת המגורים המשותפים בסעיף 21א ובתצהיר; (6) זהות הבת שנכחה בביקור 3.7.2024; (7) פרטי אישור התצהיר; (8) צירוף ייפוי כוח; (9) איתור וצירוף בקשת הנתבעת להכרה כדיירת ממשיכה וכל קבלה נוספת.]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מכף רגל ועד ראש, כתב התביעה דנא כולו פצע וחבורה ומכה טריה ואין בו מתום. התובעת, גוף דו-מהותי המנהל את מלאי הדיור הציבורי בשמה ובעבורה של מדינת ישראל, מבקשת להלביש על הנתבעת, בתו של הדייר החוזי אשר התגורר בדירה דנא מיום 8.8.1996 ועד ליום פטירתו, את אצטלת ה"פולשת"; ובאותה נשימה לגבות ממנה, בדיעבד ובכפל, "דמי שימוש ראויים" בשיעור העולה פי כמה וכמה על דמי השכירות שהיא עצמה גבתה, באותם חודשים ממש, בגין אותה דירה ממש.</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ודוק; אין צורך להרחיק לכת אל מעֵבר לנספחי כתב התביעה עצמו כדי להפריך את התביעה דנא. מנספחי התובעת עולה, שחור על גבי לבן, כי ביום 3.7.2024, קרי כארבעה חודשים וחצי לאחר פטירת הדייר החוזי, ובעודה יודעת על הפטירה ואף מציינת אותה במפורש בכתב ידה ("דייר חוזי נפטר"), ערכה נציגת התובעת ביקור בדירה בנוכחות בתו של המנוח, ורשמה בטופס מטעמה: סטטוס חוזה "פעיל"; שכר דירה ברוטו 1,456.68 ₪; שכר דירה נטו 221.19 ₪; הנחת מדרוג "מידרוג ארצי - מינימום" שתוקפה עד ליום 30.9.2024; ו"חוב בתביעה" 0. הא ותו לא.</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אין זאת אלא כי התובעת עצמה, במסמכיה שלה ובזמן אמת, לא ראתה בנתבעת "פולשת", אלא מחזיקה שהחוזה בגין הדירה דנא רשום לגביה כ"פעיל", ואשר נהנית מהנחה שהתובעת עצמה העניקה, ושתוקפה, כך לשיטתה, נמשך עד סוף חודש ספטמבר 2024.</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טענות מקדמיות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bCs/>
          <w:i w:val="false"/>
          <w:iCs w:val="false"/>
          <w:sz w:val="24"/>
          <w:szCs w:val="24"/>
          <w:rtl/>
        </w:rPr>
        <w:t xml:space="preserve">פיצול סעדים אסור.</w:t>
      </w:r>
      <w:r>
        <w:rPr>
          <w:rFonts w:ascii="David" w:cs="David" w:eastAsia="David" w:hAnsi="David"/>
          <w:b w:val="false"/>
          <w:bCs w:val="false"/>
          <w:i w:val="false"/>
          <w:iCs w:val="false"/>
          <w:sz w:val="24"/>
          <w:szCs w:val="24"/>
          <w:rtl/>
        </w:rPr>
        <w:t xml:space="preserve"> התובעת מודה בעצמה, בעמוד השער לכתב תביעתה, כי תלויה ועומדת כנגד הנתבעת תביעה לסילוק יד מן הדירה דנא, המתנהלת בבית משפט נכבד זה במסגרת ת"א 12718-06-26, "בגין אותה מסכת עובדתית". ודוק; תקנה 24 לתקנות סדר הדין האזרחי, התשע"ט-2018 מחייבת תובע לאחד בכתב תביעה אחד את כל עילות התביעה בשל אותה מסכת עובדתית, ותקנה 25(ב) מחייבת אותו לכלול בו את כל הסעדים בשל אותה עילה, זולת אם ניתנה לו רשות לפיצול סעדים. התובעת לא טענה ולא הציגה כי ניתנה לה רשות כאמור. משכך, ומקום שהתובעת עצמה מודה בזהות המסכת העובדתית, דין התביעה דנא להימחק על הסף; למצער, מתבקש בית המשפט הנכבד להורות על איחוד הדיון בשני ההליכים.</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bCs/>
          <w:i w:val="false"/>
          <w:iCs w:val="false"/>
          <w:sz w:val="24"/>
          <w:szCs w:val="24"/>
          <w:rtl/>
        </w:rPr>
        <w:t xml:space="preserve">היעדר עילה.</w:t>
      </w:r>
      <w:r>
        <w:rPr>
          <w:rFonts w:ascii="David" w:cs="David" w:eastAsia="David" w:hAnsi="David"/>
          <w:b w:val="false"/>
          <w:bCs w:val="false"/>
          <w:i w:val="false"/>
          <w:iCs w:val="false"/>
          <w:sz w:val="24"/>
          <w:szCs w:val="24"/>
          <w:rtl/>
        </w:rPr>
        <w:t xml:space="preserve"> התביעה דנא נשענת כל כולה על טענה אחת: כי "ועדה מוסמכת" קבעה שאין הנתבעת זכאית להחזיק בדירה כדיירת ממשיכה (סעיפים 11 ו-18 לכתב התביעה). ברם, ההחלטה הנטענת לא צורפה, לא הומצאה לנתבעת, לא נומקה ולא ניתנה לאחר שימוע. במסמך שצורף כנספח 4 לכתב התביעה, "פרוטוקול ועדת לגליזציה מחוזית", השדה "מצ"ב החלטת ועדה מיום ___" נותר ריק; הפרק שכותרתו "נימוקים והמלצות" נותר ריק; והעמוד השני של הפרוטוקול ריק מכל תוכן. משנשמט הבסיס המינהלי, נשמטת עמו עילת התביעה כולה.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bCs/>
          <w:i w:val="false"/>
          <w:iCs w:val="false"/>
          <w:sz w:val="24"/>
          <w:szCs w:val="24"/>
          <w:rtl/>
        </w:rPr>
        <w:t xml:space="preserve">אי-צירוף מסמכים מהותיים, בניגוד לתקנה 79(א)(2).</w:t>
      </w:r>
      <w:r>
        <w:rPr>
          <w:rFonts w:ascii="David" w:cs="David" w:eastAsia="David" w:hAnsi="David"/>
          <w:b w:val="false"/>
          <w:bCs w:val="false"/>
          <w:i w:val="false"/>
          <w:iCs w:val="false"/>
          <w:sz w:val="24"/>
          <w:szCs w:val="24"/>
          <w:rtl/>
        </w:rPr>
        <w:t xml:space="preserve"> בתובענה במסלול דיון מהיר חייב בעל דין לצרף לכתב טענותיו רשימת מסמכים והעתקי המסמכים המצויים ברשותו. התובעת לא צירפה את החלטת הוועדה עצמה; את בקשת הנתבעת להכרה כדיירת ממשיכה; כל הודעה או המצאה של ההחלטה לנתבעת; ולו התראה אחת מ"ההתראות החוזרות ונשנות" הנטענות בסעיף 2 לכתב התביעה; חוות דעת שמאית או כל אסמכתה חיצונית לגובה "דמי השימוש הראויים"; והשוברים והקבלות המעידים על התשלומים שהיא עצמה גבתה מן הנתבעת. אי-צירופם פועל לחובת התובעת, ומתבקש בית המשפט הנכבד לקבוע כי לא תישמע התובעת בבקשה להסתמך על מסמכים אלה כראיה מטעמה, משבחרה שלא לגלותם עם כתב תביעתה.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7.</w:t>
      </w:r>
      <w:r>
        <w:rPr>
          <w:rFonts w:ascii="David" w:cs="David" w:eastAsia="David" w:hAnsi="David"/>
          <w:sz w:val="24"/>
          <w:szCs w:val="24"/>
          <w:rtl/>
        </w:rPr>
        <w:tab/>
      </w:r>
      <w:r>
        <w:rPr>
          <w:rFonts w:ascii="David" w:cs="David" w:eastAsia="David" w:hAnsi="David"/>
          <w:b/>
          <w:bCs/>
          <w:i w:val="false"/>
          <w:iCs w:val="false"/>
          <w:sz w:val="24"/>
          <w:szCs w:val="24"/>
          <w:rtl/>
        </w:rPr>
        <w:t xml:space="preserve">תצהיר פגום.</w:t>
      </w:r>
      <w:r>
        <w:rPr>
          <w:rFonts w:ascii="David" w:cs="David" w:eastAsia="David" w:hAnsi="David"/>
          <w:b w:val="false"/>
          <w:bCs w:val="false"/>
          <w:i w:val="false"/>
          <w:iCs w:val="false"/>
          <w:sz w:val="24"/>
          <w:szCs w:val="24"/>
          <w:rtl/>
        </w:rPr>
        <w:t xml:space="preserve"> התצהיר שצורף כנספח 6 לכתב התביעה נעדר ציון קריא של שם המצהיר, מספר זהותו ותפקידו; הוא מצהיר באופן גורף על נכונות "כל האמור בסעיפים 1-23 בכתב התביעה", לרבות טענות משפטיות ומסקנות; ואין בו אבחנה בין ידיעה אישית לידיעה שבאמונה, כנדרש בתקנה 178(א) לתקנות. אין בתצהיר כזה כדי לאמת ולו עובדה אחת.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8.</w:t>
      </w:r>
      <w:r>
        <w:rPr>
          <w:rFonts w:ascii="David" w:cs="David" w:eastAsia="David" w:hAnsi="David"/>
          <w:sz w:val="24"/>
          <w:szCs w:val="24"/>
          <w:rtl/>
        </w:rPr>
        <w:tab/>
      </w:r>
      <w:r>
        <w:rPr>
          <w:rFonts w:ascii="David" w:cs="David" w:eastAsia="David" w:hAnsi="David"/>
          <w:b/>
          <w:bCs/>
          <w:i w:val="false"/>
          <w:iCs w:val="false"/>
          <w:sz w:val="24"/>
          <w:szCs w:val="24"/>
          <w:rtl/>
        </w:rPr>
        <w:t xml:space="preserve">חוסר תום לב ומניעוּת.</w:t>
      </w:r>
      <w:r>
        <w:rPr>
          <w:rFonts w:ascii="David" w:cs="David" w:eastAsia="David" w:hAnsi="David"/>
          <w:b w:val="false"/>
          <w:bCs w:val="false"/>
          <w:i w:val="false"/>
          <w:iCs w:val="false"/>
          <w:sz w:val="24"/>
          <w:szCs w:val="24"/>
          <w:rtl/>
        </w:rPr>
        <w:t xml:space="preserve"> התובעת מנועה ומושתקת מלטעון את שהיא טוענת, לאחר שהיא עצמה, ובזמן אמת, הגדירה את החוזה כ"פעיל", חייבה את הדירה בשכר דירה מסובסד, העניקה הנחת מדרוג שתוקפה עד ליום 30.9.2024, הוציאה שובר תשלום וקיבלה תשלומים בפועל.</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תמצית טענות ההגנה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הנתבעת אינה "פולשת". הנתבעת היא בתו של הדייר החוזי המנוח, מר מנבר וונדימאג'ן ז"ל, ת.ז. 303214381, אשר עלה ארצה מאתיופיה ביום 25.5.1991, התגורר בדירה דנא מיום 8.8.1996 והלך לבית עולמו ביום 16.2.2024. הנתבעת פנתה לתובעת בבקשה מסודרת להקניית זכויות כדיירת ממשיכה, כפי העולה מנספח 4 לכתב התביעה עצמו. מי שמגישה בקשה סטטוטורית, ובקשתה נדונה בפני ועדה של הרשות, אינה "פולשת" ואינה "תופסת חזקה שלא כדין".</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התובעת התייחסה אל הנתבעת כאל מחזיקה כדין. כאמור לעיל, וכפי שיפורט בהרחבה בחלק השלישי, מסמכי התובעת עצמה מלמדים על חוזה "פעיל", על שכר דירה מסובסד, על הנחת מדרוג בתוקף ועל "חוב בתביעה" בסך 0, והכול לאחר הפטירה.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התובעת גבתה בפועל תשלומים מן הנתבעת. ביום 23.7.2024 הנפיקה התובעת קבלה-חשבונית מס' 9007915735 על סך 1,355.71 ₪, בגין "שכ"ד" (קוד 101), לחודשים 02/2024 עד 07/2024. ביום 27.3.2025 שילמה הנתבעת לתובעת, באמצעות בנק יהב, סך של 2,911.01 ₪. ואף לשיטת הכרטסת שצורפה כנספח 5 לכתב התביעה, "מספר חודשים אי תשלום" עומד על 12 בלבד, מתוך למעלה מעשרים וארבעה חודשי התקופה הנטענת.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"החלטת" הוועדה בטלה מעיקרה. ההחלטה ניתנה בלא שימוע, בלא הנמקה ובלא המצאה, על יסוד תשתית עובדתית שגויה על פניה, ותוך יישום קריטריון פנימי מחמיר מזה הקבוע בחוק. הנתבעת תוקפת אותה בתקיפה עקיפה, כדין.</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הסכום הנתבע נטול תשתית ראייתית. התובעת לא הציגה ולו ראשית ראיה לשוויים של דמי שימוש ראויים בדירה דנא. המסמך היחיד שהוצג, כרטסת פנימית שהתובעת ערכה לעצמה, אינו ראיה לשווי שוק, ומכל מקום סותר את רישומי התובעת עצמה מאותה תקופה.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14.</w:t>
      </w:r>
      <w:r>
        <w:rPr>
          <w:rFonts w:ascii="David" w:cs="David" w:eastAsia="David" w:hAnsi="David"/>
          <w:sz w:val="24"/>
          <w:szCs w:val="24"/>
          <w:rtl/>
        </w:rPr>
        <w:tab/>
      </w:r>
      <w:r>
        <w:rPr>
          <w:rFonts w:ascii="David" w:cs="David" w:eastAsia="David" w:hAnsi="David"/>
          <w:b/>
          <w:bCs/>
          <w:i w:val="false"/>
          <w:iCs w:val="false"/>
          <w:sz w:val="24"/>
          <w:szCs w:val="24"/>
          <w:rtl/>
        </w:rPr>
        <w:t xml:space="preserve">חיוב כפול.</w:t>
      </w:r>
      <w:r>
        <w:rPr>
          <w:rFonts w:ascii="David" w:cs="David" w:eastAsia="David" w:hAnsi="David"/>
          <w:b w:val="false"/>
          <w:bCs w:val="false"/>
          <w:i w:val="false"/>
          <w:iCs w:val="false"/>
          <w:sz w:val="24"/>
          <w:szCs w:val="24"/>
          <w:rtl/>
        </w:rPr>
        <w:t xml:space="preserve"> בגין החודשים 04/2024 עד 07/2024 לכל הפחות, ולפי נוסח השובר עצמו החל מחודש 02/2024, גבתה התובעת שכר דירה וקיבלה בעדו קבלה; ובגין אותם חודשים ממש הוציאה, ביום 17.9.2024, שובר "דמי שימוש ראויים" על סך 21,730.81 ₪.</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טיעונים לעניין הסעד המבוקש</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דין התביעה להידחות על הסף ולגופה, תוך חיוב התובעת בהוצאות הולמות.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לחלופין, ומבלי לגרוע מן האמור, מתבקש בית המשפט הנכבד לפטור את הנתבעת מהשבה מכוח סעיף 2 לחוק עשיית עושר ולא במשפט, התשל"ט-1979, מקום שהזכייה הנטענת לא היתה כרוכה בחסרון התובעת, ולנוכח הנסיבות העושות את ההשבה בלתי צודקת בעליל.</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לחלופי חלופין, ככל שייקבע חיוב כלשהו, כי אז יועמד הוא על דמי השכירות המסובסדים כפי שנרשמו בידי התובעת עצמה, ובכל מקרה יופחתו ממנו כל התשלומים ששולמו בפועל, וכן ריבית והצמדה שנגבו שלא כדין.</w:t>
      </w:r>
    </w:p>
    <w:p>
      <w:pPr>
        <w:keepNext/>
        <w:keepLines/>
        <w:bidi/>
        <w:spacing w:after="200" w:before="320" w:line="360" w:lineRule="auto"/>
        <w:jc w:val="center"/>
      </w:pPr>
      <w:r>
        <w:rPr>
          <w:rFonts w:ascii="David" w:cs="David" w:eastAsia="David" w:hAnsi="David"/>
          <w:b/>
          <w:bCs/>
          <w:i w:val="false"/>
          <w:iCs w:val="false"/>
          <w:sz w:val="26"/>
          <w:szCs w:val="26"/>
          <w:u w:val="single"/>
          <w:rtl/>
        </w:rPr>
        <w:t xml:space="preserve">חלק שלישי - טיעון עובדתי</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א. הרקע העובדתי לאשורו</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הדירה דנא, ברח' צה"ל 72, דירה 6, פתח תקווה, הושכרה לאביה המנוח של הנתבעת, מר מנבר וונדימאג'ן ז"ל, ת.ז. 303214381, על פי חוזה שכירות מיום 29.8.1996, כאשר מועד האכלוס הוא יום 8.8.1996 (ר' נספח 1 לכתב התביעה, וכן פרטי האכלוס החוזרים בכל נספחי התובעת).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מנספחי התובעת עצמה עולה כי המנוח עלה ארצה מאתיופיה ביום 25.5.1991; כי מצבו המשפחתי נרשם על ידי התובעת, שוב ושוב, כ"חד הורי"; וכי מדובר בקשיש יליד שנת 1943, אשר בשנותיו האחרונות היה חולה ותלוי בזולת. המנוח הלך לבית עולמו ביום 16.2.2024, בבית החולים בילינסון.</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ודוק; אותם "ביקורי מעגל" ואותן "הצהרות" שעליהם נסמכת התובעת הם מסמכים שהתובעת עצמה ניסחה, הדפיסה, הביאה אל הקשיש והחתימה אותו עליהם. בטפסי הביקור שערכה התובעת לאורך השנים מצויות רובריקות מפורשות, "באיזו שפה נערך הביקור" ו"נכח מתרגם: שם", אשר נותרו ריקות, ובאחד מהם אף נרשם מפורשות כי מתרגם לא נכח. לא ייתכן כי מסמכים שנוסחו בידי הרשות והוחתמו על ידה, בלא תיעוד של שפת הביקור ובלא נוכחות מתרגם, ישמשו ראיה מכרעת וכמעט בלעדית לשלילת זכות סטטוטורית של בתו.</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יתרה מזאת. באותם טפסים ממש רשמה התובעת כי מספר ילדיו של המנוח הוא "0", בעודה רושמת בסמוך לכך כי מצבו המשפחתי "חד הורי"; ואף את תאריך לידתו נקבה ביום 1.7.1943, בעוד תעודת הפטירה (נספח 3, עמ' 40) נוקבת ביום 23.9.1943. מסמך הסותר את עצמו ואת המרשם הרשמי אינו יכול לשמש תשתית עובדתית להחלטה מינהלית הפוגעת בזכות לדיור.</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22.</w:t>
      </w:r>
      <w:r>
        <w:rPr>
          <w:rFonts w:ascii="David" w:cs="David" w:eastAsia="David" w:hAnsi="David"/>
          <w:sz w:val="24"/>
          <w:szCs w:val="24"/>
          <w:rtl/>
        </w:rPr>
        <w:tab/>
      </w:r>
      <w:r>
        <w:rPr>
          <w:rFonts w:ascii="David" w:cs="David" w:eastAsia="David" w:hAnsi="David"/>
          <w:b/>
          <w:bCs/>
          <w:i w:val="false"/>
          <w:iCs w:val="false"/>
          <w:sz w:val="24"/>
          <w:szCs w:val="24"/>
          <w:rtl/>
        </w:rPr>
        <w:t xml:space="preserve">הנתבעת התגוררה עם אביה המנוח בדירה דנא.</w:t>
      </w:r>
      <w:r>
        <w:rPr>
          <w:rFonts w:ascii="David" w:cs="David" w:eastAsia="David" w:hAnsi="David"/>
          <w:b w:val="false"/>
          <w:bCs w:val="false"/>
          <w:i w:val="false"/>
          <w:iCs w:val="false"/>
          <w:sz w:val="24"/>
          <w:szCs w:val="24"/>
          <w:rtl/>
        </w:rPr>
        <w:t xml:space="preserve"> הנתבעת תטען כי התגוררה עם אביה המנוח בדירה דנא בתקופה העולה על שלוש שנים בסמוך למועד פטירתו, וכי נשאה בטיפול בו בשנותיו האחרונות, עת היה חולה ותלוי בזולת. משכך באה היא בגדר "דייר ממשיך" כהגדרתו בסעיף 1 לחוק זכויות הדייר בדיור הציבורי, התשנ"ח-1998.</w:t>
      </w:r>
    </w:p>
    <w:p>
      <w:pPr>
        <w:bidi/>
        <w:spacing w:after="160" w:line="360" w:lineRule="auto"/>
        <w:ind w:start="680" w:end="200"/>
        <w:jc w:val="both"/>
      </w:pPr>
      <w:r>
        <w:rPr>
          <w:rFonts w:ascii="David" w:cs="David" w:eastAsia="David" w:hAnsi="David"/>
          <w:b w:val="false"/>
          <w:bCs w:val="false"/>
          <w:i/>
          <w:iCs/>
          <w:sz w:val="24"/>
          <w:szCs w:val="24"/>
          <w:highlight w:val="yellow"/>
          <w:highlightCs w:val="yellow"/>
          <w:rtl/>
        </w:rPr>
        <w:t xml:space="preserve">[להשלמה: מועד תחילת המגורים המשותפים ומשכם, וראיות תומכות. ר' פירוט בצ'ק-ליסט שבפתח המסמך.]</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ב. התנהלות התובעת לאחר הפטירה, הודאות בעל דין</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3.7.2024 ערכה נציגת התובעת, גב' אפרת טמנו, ביקור בדירה דנא, ובטופס "סיכום ביקור" שערכה בעצמה (עמ' 38 לכתב התביעה) רשמה בהערות: </w:t>
      </w:r>
      <w:r>
        <w:rPr>
          <w:rFonts w:ascii="David" w:cs="David" w:eastAsia="David" w:hAnsi="David"/>
          <w:b/>
          <w:bCs/>
          <w:i w:val="false"/>
          <w:iCs w:val="false"/>
          <w:sz w:val="24"/>
          <w:szCs w:val="24"/>
          <w:rtl/>
        </w:rPr>
        <w:t xml:space="preserve">"דייר חוזי נפטר, ביקור עם הבת עדן טדלה"</w:t>
      </w:r>
      <w:r>
        <w:rPr>
          <w:rFonts w:ascii="David" w:cs="David" w:eastAsia="David" w:hAnsi="David"/>
          <w:b w:val="false"/>
          <w:bCs w:val="false"/>
          <w:i w:val="false"/>
          <w:iCs w:val="false"/>
          <w:sz w:val="24"/>
          <w:szCs w:val="24"/>
          <w:rtl/>
        </w:rPr>
        <w:t xml:space="preserve">. ובאותו טופס ממש נרשם:</w:t>
      </w:r>
    </w:p>
    <w:p>
      <w:pPr>
        <w:keepLines/>
        <w:bidi/>
        <w:spacing w:after="160" w:before="80" w:line="300" w:lineRule="auto"/>
        <w:ind w:start="780" w:end="300"/>
        <w:jc w:val="both"/>
      </w:pPr>
      <w:r>
        <w:rPr>
          <w:rFonts w:ascii="David" w:cs="David" w:eastAsia="David" w:hAnsi="David"/>
          <w:b w:val="false"/>
          <w:bCs w:val="false"/>
          <w:i w:val="false"/>
          <w:iCs w:val="false"/>
          <w:sz w:val="24"/>
          <w:szCs w:val="24"/>
          <w:rtl/>
        </w:rPr>
        <w:t xml:space="preserve">"מצב אכלוס: שכירות"; </w:t>
      </w:r>
      <w:r>
        <w:rPr>
          <w:rFonts w:ascii="David" w:cs="David" w:eastAsia="David" w:hAnsi="David"/>
          <w:b/>
          <w:bCs/>
          <w:i w:val="false"/>
          <w:iCs w:val="false"/>
          <w:sz w:val="24"/>
          <w:szCs w:val="24"/>
          <w:rtl/>
        </w:rPr>
        <w:t xml:space="preserve">"סטטוס חוזה: פעיל"</w:t>
      </w:r>
      <w:r>
        <w:rPr>
          <w:rFonts w:ascii="David" w:cs="David" w:eastAsia="David" w:hAnsi="David"/>
          <w:b w:val="false"/>
          <w:bCs w:val="false"/>
          <w:i w:val="false"/>
          <w:iCs w:val="false"/>
          <w:sz w:val="24"/>
          <w:szCs w:val="24"/>
          <w:rtl/>
        </w:rPr>
        <w:t xml:space="preserve">; "שימוש בפועל: מגורים"; "אמצעי תשלום: שובר"; "שכ"ד ברוטו: 1,456.68"; </w:t>
      </w:r>
      <w:r>
        <w:rPr>
          <w:rFonts w:ascii="David" w:cs="David" w:eastAsia="David" w:hAnsi="David"/>
          <w:b/>
          <w:bCs/>
          <w:i w:val="false"/>
          <w:iCs w:val="false"/>
          <w:sz w:val="24"/>
          <w:szCs w:val="24"/>
          <w:rtl/>
        </w:rPr>
        <w:t xml:space="preserve">"שכ"ד נטו: 221.19"</w:t>
      </w:r>
      <w:r>
        <w:rPr>
          <w:rFonts w:ascii="David" w:cs="David" w:eastAsia="David" w:hAnsi="David"/>
          <w:b w:val="false"/>
          <w:bCs w:val="false"/>
          <w:i w:val="false"/>
          <w:iCs w:val="false"/>
          <w:sz w:val="24"/>
          <w:szCs w:val="24"/>
          <w:rtl/>
        </w:rPr>
        <w:t xml:space="preserve">; "הנחת מדרוג: מידרוג ארצי - מינימום"; </w:t>
      </w:r>
      <w:r>
        <w:rPr>
          <w:rFonts w:ascii="David" w:cs="David" w:eastAsia="David" w:hAnsi="David"/>
          <w:b/>
          <w:bCs/>
          <w:i w:val="false"/>
          <w:iCs w:val="false"/>
          <w:sz w:val="24"/>
          <w:szCs w:val="24"/>
          <w:rtl/>
        </w:rPr>
        <w:t xml:space="preserve">"מועד סיום הנחה: 30/09/2024"</w:t>
      </w:r>
      <w:r>
        <w:rPr>
          <w:rFonts w:ascii="David" w:cs="David" w:eastAsia="David" w:hAnsi="David"/>
          <w:b w:val="false"/>
          <w:bCs w:val="false"/>
          <w:i w:val="false"/>
          <w:iCs w:val="false"/>
          <w:sz w:val="24"/>
          <w:szCs w:val="24"/>
          <w:rtl/>
        </w:rPr>
        <w:t xml:space="preserve">; "סה"כ גובה חוב: 1,355.71"; "חוב בהסדר: 0"; </w:t>
      </w:r>
      <w:r>
        <w:rPr>
          <w:rFonts w:ascii="David" w:cs="David" w:eastAsia="David" w:hAnsi="David"/>
          <w:b/>
          <w:bCs/>
          <w:i w:val="false"/>
          <w:iCs w:val="false"/>
          <w:sz w:val="24"/>
          <w:szCs w:val="24"/>
          <w:rtl/>
        </w:rPr>
        <w:t xml:space="preserve">"חוב בתביעה: 0"</w:t>
      </w:r>
      <w:r>
        <w:rPr>
          <w:rFonts w:ascii="David" w:cs="David" w:eastAsia="David" w:hAnsi="David"/>
          <w:b w:val="false"/>
          <w:bCs w:val="false"/>
          <w:i w:val="false"/>
          <w:iCs w:val="false"/>
          <w:sz w:val="24"/>
          <w:szCs w:val="24"/>
          <w:rtl/>
        </w:rPr>
        <w:t xml:space="preserve">.</w:t>
      </w:r>
    </w:p>
    <w:p>
      <w:pPr>
        <w:bidi/>
        <w:spacing w:after="160" w:line="360" w:lineRule="auto"/>
        <w:ind w:start="680" w:end="200"/>
        <w:jc w:val="both"/>
      </w:pPr>
      <w:r>
        <w:rPr>
          <w:rFonts w:ascii="David" w:cs="David" w:eastAsia="David" w:hAnsi="David"/>
          <w:b w:val="false"/>
          <w:bCs w:val="false"/>
          <w:i/>
          <w:iCs/>
          <w:sz w:val="24"/>
          <w:szCs w:val="24"/>
          <w:highlight w:val="yellow"/>
          <w:highlightCs w:val="yellow"/>
          <w:rtl/>
        </w:rPr>
        <w:t xml:space="preserve">[להשלמה: שם הבת בטופס אינו תואם במדויק את שם הנתבעת. לברר מול הלקוחה ולהוסיף כאן משפט מבהיר.]</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ודוק; במועד עריכת הטופס ידעה התובעת גם ידעה כי הדייר החוזי הלך לעולמו, שהרי היא כתבה זאת בכתב ידה. ואף על פי כן, ומרצונה החופשי, הותירה את החוזה במעמד "פעיל", המשיכה לחייב בשכר דירה מסובסד, המשיכה להעניק הנחת מדרוג לחודשים שלאחר הפטירה, ורשמה מפורשות כי אין כל "חוב בתביעה".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בהמשך ישיר לכך, ביום 23.7.2024 הנפיקה התובעת קבלה-חשבונית מס' 9007915735, על סך 1,355.71 ₪, בגין "שכ"ד", קוד 101, לחודשים 02/2024 עד 07/2024. ויודגש; הקבלה הוצאה על שמו של הדייר החוזי המנוח ולחשבונו (חשבון 60347), כחמישה חודשים לאחר פטירתו וביודעין. הסכום שולם במלואו.</w:t>
      </w:r>
    </w:p>
    <w:p>
      <w:pPr>
        <w:keepLines/>
        <w:bidi/>
        <w:spacing w:after="160" w:line="360" w:lineRule="auto"/>
        <w:ind w:start="680" w:end="200"/>
        <w:jc w:val="both"/>
      </w:pPr>
      <w:r>
        <w:rPr>
          <w:rFonts w:ascii="David" w:cs="David" w:eastAsia="David" w:hAnsi="David"/>
          <w:b/>
          <w:bCs/>
          <w:i w:val="false"/>
          <w:iCs w:val="false"/>
          <w:sz w:val="24"/>
          <w:szCs w:val="24"/>
          <w:rtl/>
        </w:rPr>
        <w:t xml:space="preserve">העתק הקבלה-חשבונית מיום 23.7.2024 מצ"ב ומסומן כנספח א'.</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ואולם, בחלוף חודשים מעטים בלבד, וביום 17.9.2024, קרי לאחר המועד הנקוב בנספח 4 לכתב התביעה (2.9.2024), הוציאה התובעת שובר חדש, מס' 9007925756, הפעם על שם הנתבעת, ובו נדרשה הנתבעת לשלם, בגין אותם חודשים בדיוק ובתוספת חודשיים, סך של 21,730.81 ₪, תחת הכותרת "דמי שמוש ראויים", קוד 103. על גבי אותו שובר הטביעה התובעת את הכיתוב "מבלי לפגוע בזכויות".</w:t>
      </w:r>
    </w:p>
    <w:p>
      <w:pPr>
        <w:keepLines/>
        <w:bidi/>
        <w:spacing w:after="160" w:line="360" w:lineRule="auto"/>
        <w:ind w:start="680" w:end="200"/>
        <w:jc w:val="both"/>
      </w:pPr>
      <w:r>
        <w:rPr>
          <w:rFonts w:ascii="David" w:cs="David" w:eastAsia="David" w:hAnsi="David"/>
          <w:b/>
          <w:bCs/>
          <w:i w:val="false"/>
          <w:iCs w:val="false"/>
          <w:sz w:val="24"/>
          <w:szCs w:val="24"/>
          <w:rtl/>
        </w:rPr>
        <w:t xml:space="preserve">העתק השובר מיום 17.9.2024 מצ"ב ומסומן כנספח ב'.</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ודוק; באותה נשימה עצמה גבתה התובעת, בגין החודשים 04/2024 עד 07/2024 לכל הפחות, גם "שכר דירה" וגם "דמי שימוש ראויים". אין זאת אלא חיוב כפול, בגין אותה תקופה ובגין אותה דירה.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ולא זו אף זו. ביום 27.3.2025 שילמה הנתבעת לתובעת, מחשבונה בבנק יהב, סך של 2,911.01 ₪ לפקודת עמידר, על פי שובר מס' 9007961452 שהתובעת עצמה שלחה אליה. התובעת קיבלה את הכסף, החזיקה בו, ולא השיבה אותו.</w:t>
      </w:r>
    </w:p>
    <w:p>
      <w:pPr>
        <w:keepLines/>
        <w:bidi/>
        <w:spacing w:after="160" w:line="360" w:lineRule="auto"/>
        <w:ind w:start="680" w:end="200"/>
        <w:jc w:val="both"/>
      </w:pPr>
      <w:r>
        <w:rPr>
          <w:rFonts w:ascii="David" w:cs="David" w:eastAsia="David" w:hAnsi="David"/>
          <w:b/>
          <w:bCs/>
          <w:i w:val="false"/>
          <w:iCs w:val="false"/>
          <w:sz w:val="24"/>
          <w:szCs w:val="24"/>
          <w:rtl/>
        </w:rPr>
        <w:t xml:space="preserve">העתק אישור בנק יהב מיום 27.3.2025 מצ"ב ומסומן כנספח ג'.</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הנה כי כן, הטענה שבסעיף 2 ובסעיף 21 לכתב התביעה, לפיה הנתבעת "אינה משלמת" ו"לא משלמת כל תמורה בגין מגוריה בדירה", היא טענת סרק. אף לשיטת הכרטסת שערכה התובעת בעצמה (נספח 5), מספר חודשי אי-התשלום עומד על 12 בלבד, מתוך למעלה מעשרים וארבעה חודשים.</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ויודגש; התובעת היא שקבעה את סכום החיוב, היא שהנפיקה את השוברים, היא שגבתה את הכסף והיא שערכה את הרישומים. הנתבעת שילמה את שנדרשה לשלם, על פי השוברים שהתובעת עצמה שלחה אליה, ובכללם שוברים שהתובעת הוציאה על שם אביה המנוח.</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ג. "החלטת הוועדה", פגמיה היורדים לשורש</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סעיפים 11 ו-18 לכתב התביעה מייחסים ל"ועדה מוסמכת" קביעה כי "אין הנתבעת זכאית" להחזיק בדירה כדיירת ממשיכה. ברם, עיון בנספח 4 מלמד כי אין בפנינו "החלטה" כלל ועיקר, אלא טופס שרוב רובו לא מולא.</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32.</w:t>
      </w:r>
      <w:r>
        <w:rPr>
          <w:rFonts w:ascii="David" w:cs="David" w:eastAsia="David" w:hAnsi="David"/>
          <w:sz w:val="24"/>
          <w:szCs w:val="24"/>
          <w:rtl/>
        </w:rPr>
        <w:tab/>
      </w:r>
      <w:r>
        <w:rPr>
          <w:rFonts w:ascii="David" w:cs="David" w:eastAsia="David" w:hAnsi="David"/>
          <w:b/>
          <w:bCs/>
          <w:i w:val="false"/>
          <w:iCs w:val="false"/>
          <w:sz w:val="24"/>
          <w:szCs w:val="24"/>
          <w:rtl/>
        </w:rPr>
        <w:t xml:space="preserve">היעדר הנמקה.</w:t>
      </w:r>
      <w:r>
        <w:rPr>
          <w:rFonts w:ascii="David" w:cs="David" w:eastAsia="David" w:hAnsi="David"/>
          <w:b w:val="false"/>
          <w:bCs w:val="false"/>
          <w:i w:val="false"/>
          <w:iCs w:val="false"/>
          <w:sz w:val="24"/>
          <w:szCs w:val="24"/>
          <w:rtl/>
        </w:rPr>
        <w:t xml:space="preserve"> הפרק שכותרתו "נימוקים והמלצות:" נותר ריק לחלוטין. הפרק שכותרתו "החלטת הוועדה המחוזית:" אינו נושא כל נימוק, ותחת זאת מופיעות בו שתי שורות בכתב יד בצד התאריך 2.9.24. חובת ההנמקה של רשות מינהלית אינה עניין של נוחות אלא חובה שבדין (ר' סעיף 2 לחוק לתיקון סדרי המינהל (החלטות והנמקות), התשי"ט-1958). החלטה הפוגעת בזכות לדיור ואינה מנומקת, בטלה.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33.</w:t>
      </w:r>
      <w:r>
        <w:rPr>
          <w:rFonts w:ascii="David" w:cs="David" w:eastAsia="David" w:hAnsi="David"/>
          <w:sz w:val="24"/>
          <w:szCs w:val="24"/>
          <w:rtl/>
        </w:rPr>
        <w:tab/>
      </w:r>
      <w:r>
        <w:rPr>
          <w:rFonts w:ascii="David" w:cs="David" w:eastAsia="David" w:hAnsi="David"/>
          <w:b/>
          <w:bCs/>
          <w:i w:val="false"/>
          <w:iCs w:val="false"/>
          <w:sz w:val="24"/>
          <w:szCs w:val="24"/>
          <w:rtl/>
        </w:rPr>
        <w:t xml:space="preserve">היעדר החלטה מצורפת.</w:t>
      </w:r>
      <w:r>
        <w:rPr>
          <w:rFonts w:ascii="David" w:cs="David" w:eastAsia="David" w:hAnsi="David"/>
          <w:b w:val="false"/>
          <w:bCs w:val="false"/>
          <w:i w:val="false"/>
          <w:iCs w:val="false"/>
          <w:sz w:val="24"/>
          <w:szCs w:val="24"/>
          <w:rtl/>
        </w:rPr>
        <w:t xml:space="preserve"> בטופס עצמו קיים שדה מפורש: "מצ"ב החלטת ועדה מיום ___". השדה ריק. משמע, אף לשיטת עורכי הטופס, ההחלטה המהותית אמורה היתה להיות מסמך נפרד, ומסמך זה לא צורף לכתב התביעה ולא הוצג מעולם.</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34.</w:t>
      </w:r>
      <w:r>
        <w:rPr>
          <w:rFonts w:ascii="David" w:cs="David" w:eastAsia="David" w:hAnsi="David"/>
          <w:sz w:val="24"/>
          <w:szCs w:val="24"/>
          <w:rtl/>
        </w:rPr>
        <w:tab/>
      </w:r>
      <w:r>
        <w:rPr>
          <w:rFonts w:ascii="David" w:cs="David" w:eastAsia="David" w:hAnsi="David"/>
          <w:b/>
          <w:bCs/>
          <w:i w:val="false"/>
          <w:iCs w:val="false"/>
          <w:sz w:val="24"/>
          <w:szCs w:val="24"/>
          <w:rtl/>
        </w:rPr>
        <w:t xml:space="preserve">טופס שאינו חתום.</w:t>
      </w:r>
      <w:r>
        <w:rPr>
          <w:rFonts w:ascii="David" w:cs="David" w:eastAsia="David" w:hAnsi="David"/>
          <w:b w:val="false"/>
          <w:bCs w:val="false"/>
          <w:i w:val="false"/>
          <w:iCs w:val="false"/>
          <w:sz w:val="24"/>
          <w:szCs w:val="24"/>
          <w:rtl/>
        </w:rPr>
        <w:t xml:space="preserve"> הרובריקה "למילוי ע"י סגן מנהל מרכז שרות" נושאת את התאריך 1.11.2023, אך השדות "שם סגן מנהל מרכז שרות" ו"חתימת סגן מנהל מרכז שרות" ריקים. ודוק; התאריך 1.11.2023 קודם בלמעלה משלושה חודשים וחצי לפטירת הדייר החוזי ביום 16.2.2024. קרי, התשתית שעליה נשענת "ההחלטה" הוכנה בטרם התגבשה כלל העילה לבחינת מעמדה של הנתבעת כדיירת ממשיכה.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35.</w:t>
      </w:r>
      <w:r>
        <w:rPr>
          <w:rFonts w:ascii="David" w:cs="David" w:eastAsia="David" w:hAnsi="David"/>
          <w:sz w:val="24"/>
          <w:szCs w:val="24"/>
          <w:rtl/>
        </w:rPr>
        <w:tab/>
      </w:r>
      <w:r>
        <w:rPr>
          <w:rFonts w:ascii="David" w:cs="David" w:eastAsia="David" w:hAnsi="David"/>
          <w:b/>
          <w:bCs/>
          <w:i w:val="false"/>
          <w:iCs w:val="false"/>
          <w:sz w:val="24"/>
          <w:szCs w:val="24"/>
          <w:rtl/>
        </w:rPr>
        <w:t xml:space="preserve">עמוד שני ריק והרכב חסר.</w:t>
      </w:r>
      <w:r>
        <w:rPr>
          <w:rFonts w:ascii="David" w:cs="David" w:eastAsia="David" w:hAnsi="David"/>
          <w:b w:val="false"/>
          <w:bCs w:val="false"/>
          <w:i w:val="false"/>
          <w:iCs w:val="false"/>
          <w:sz w:val="24"/>
          <w:szCs w:val="24"/>
          <w:rtl/>
        </w:rPr>
        <w:t xml:space="preserve"> העמוד השני של הפרוטוקול (עמ' 43 לכתב התביעה) ריק מכל תוכן, למעט פרטי הזיהוי והכותרות. אף ההרכב אינו מלא: בטבלת "החלטת הוועדה המחוזית" מופיעות שתי חתימות בלבד, של מר ליאור ליפשיץ, סגן מנהל סניף פתח תקווה, ושל מר יעקב אדר, מנהל מרכז שירות פתח תקווה, בעוד המשבצת השלישית שכותרתה "שם וחתימה" נותרה ריקה.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36.</w:t>
      </w:r>
      <w:r>
        <w:rPr>
          <w:rFonts w:ascii="David" w:cs="David" w:eastAsia="David" w:hAnsi="David"/>
          <w:sz w:val="24"/>
          <w:szCs w:val="24"/>
          <w:rtl/>
        </w:rPr>
        <w:tab/>
      </w:r>
      <w:r>
        <w:rPr>
          <w:rFonts w:ascii="David" w:cs="David" w:eastAsia="David" w:hAnsi="David"/>
          <w:b/>
          <w:bCs/>
          <w:i w:val="false"/>
          <w:iCs w:val="false"/>
          <w:sz w:val="24"/>
          <w:szCs w:val="24"/>
          <w:rtl/>
        </w:rPr>
        <w:t xml:space="preserve">טעות גלויה על פני הטופס.</w:t>
      </w:r>
      <w:r>
        <w:rPr>
          <w:rFonts w:ascii="David" w:cs="David" w:eastAsia="David" w:hAnsi="David"/>
          <w:b w:val="false"/>
          <w:bCs w:val="false"/>
          <w:i w:val="false"/>
          <w:iCs w:val="false"/>
          <w:sz w:val="24"/>
          <w:szCs w:val="24"/>
          <w:rtl/>
        </w:rPr>
        <w:t xml:space="preserve"> בטבלת ביקורי המעגל שבנספח 4 (עמ' 42 לכתב התביעה) נרשם, ביחס לביקור מיום 3.7.2024, כי הדייר החוזי "גר: כן", וזאת כארבעה חודשים וחצי לאחר פטירתו. ובאותה שורה ממש נרשם, ביחס לדייר הממשיך, "גר? כן". טופס הקובע כי אדם שנפטר מתגורר בדירה, אינו יכול לשמש יסוד לשלילת זכות; ומקום שבשורה היחידה שנערכה לאחר הפטירה נרשם ביחס לדייר הממשיך "כן", אין בטבלה זו אלא כדי לחזק את עמדת הנתבעת.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37.</w:t>
      </w:r>
      <w:r>
        <w:rPr>
          <w:rFonts w:ascii="David" w:cs="David" w:eastAsia="David" w:hAnsi="David"/>
          <w:sz w:val="24"/>
          <w:szCs w:val="24"/>
          <w:rtl/>
        </w:rPr>
        <w:tab/>
      </w:r>
      <w:r>
        <w:rPr>
          <w:rFonts w:ascii="David" w:cs="David" w:eastAsia="David" w:hAnsi="David"/>
          <w:b/>
          <w:bCs/>
          <w:i w:val="false"/>
          <w:iCs w:val="false"/>
          <w:sz w:val="24"/>
          <w:szCs w:val="24"/>
          <w:rtl/>
        </w:rPr>
        <w:t xml:space="preserve">קביעה על יסוד ביקור שלא נערך.</w:t>
      </w:r>
      <w:r>
        <w:rPr>
          <w:rFonts w:ascii="David" w:cs="David" w:eastAsia="David" w:hAnsi="David"/>
          <w:b w:val="false"/>
          <w:bCs w:val="false"/>
          <w:i w:val="false"/>
          <w:iCs w:val="false"/>
          <w:sz w:val="24"/>
          <w:szCs w:val="24"/>
          <w:rtl/>
        </w:rPr>
        <w:t xml:space="preserve"> ביחס לביקור מיום 18.12.2023 נרשם בנספח 2 לכתב התביעה (עמ' 37), בכתב ידה של נציגת התובעת: "הערות: נקבע מספר פעמים ביקור בית, הדייר אומר אני אהיה בבית, לא נצא". הרובריקה "גר/ה בגפו/ה" באותו טופס נותרה ריקה. ואף על פי כן, בטבלת נספח 4 נרשם ביחס לאותו מועד ממש, ביחס לדייר הממשיך: "לא". קביעה פוזיטיבית ומכרעת, על יסוד ביקור שלא נערך.</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38.</w:t>
      </w:r>
      <w:r>
        <w:rPr>
          <w:rFonts w:ascii="David" w:cs="David" w:eastAsia="David" w:hAnsi="David"/>
          <w:sz w:val="24"/>
          <w:szCs w:val="24"/>
          <w:rtl/>
        </w:rPr>
        <w:tab/>
      </w:r>
      <w:r>
        <w:rPr>
          <w:rFonts w:ascii="David" w:cs="David" w:eastAsia="David" w:hAnsi="David"/>
          <w:b/>
          <w:bCs/>
          <w:i w:val="false"/>
          <w:iCs w:val="false"/>
          <w:sz w:val="24"/>
          <w:szCs w:val="24"/>
          <w:rtl/>
        </w:rPr>
        <w:t xml:space="preserve">קריטריון מחמיר מן הקבוע בחוק.</w:t>
      </w:r>
      <w:r>
        <w:rPr>
          <w:rFonts w:ascii="David" w:cs="David" w:eastAsia="David" w:hAnsi="David"/>
          <w:b w:val="false"/>
          <w:bCs w:val="false"/>
          <w:i w:val="false"/>
          <w:iCs w:val="false"/>
          <w:sz w:val="24"/>
          <w:szCs w:val="24"/>
          <w:rtl/>
        </w:rPr>
        <w:t xml:space="preserve"> בראש טבלת ביקורי המעגל שבנספח 4 נקבע התנאי: "ביקורי מעגל לדייר הממשיך מתאריך 1.8.09 ועד מועד הבקשה ולא פחות מ-4 שנות מגורים רצופות". ברם, סעיף 1 לחוק זכויות הדייר בדיור הציבורי, התשנ"ח-1998 מגדיר "דייר ממשיך", בין היתר, כילדו של הזכאי, ובלבד שהתגורר עם הזכאי בדירה הציבורית תקופה של שלוש שנים לפחות בסמוך למועד הפטירה. ודוק; רשות מינהלית אינה רשאית להחמיר, בנוהל פנימי, עם מי שהמחוקק הראשי הקל עמו.</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39.</w:t>
      </w:r>
      <w:r>
        <w:rPr>
          <w:rFonts w:ascii="David" w:cs="David" w:eastAsia="David" w:hAnsi="David"/>
          <w:sz w:val="24"/>
          <w:szCs w:val="24"/>
          <w:rtl/>
        </w:rPr>
        <w:tab/>
      </w:r>
      <w:r>
        <w:rPr>
          <w:rFonts w:ascii="David" w:cs="David" w:eastAsia="David" w:hAnsi="David"/>
          <w:b/>
          <w:bCs/>
          <w:i w:val="false"/>
          <w:iCs w:val="false"/>
          <w:sz w:val="24"/>
          <w:szCs w:val="24"/>
          <w:rtl/>
        </w:rPr>
        <w:t xml:space="preserve">מונופול ראייתי.</w:t>
      </w:r>
      <w:r>
        <w:rPr>
          <w:rFonts w:ascii="David" w:cs="David" w:eastAsia="David" w:hAnsi="David"/>
          <w:b w:val="false"/>
          <w:bCs w:val="false"/>
          <w:i w:val="false"/>
          <w:iCs w:val="false"/>
          <w:sz w:val="24"/>
          <w:szCs w:val="24"/>
          <w:rtl/>
        </w:rPr>
        <w:t xml:space="preserve"> למעלה מכך: הנוהל אינו רק מחמיר בתקופה, אלא שאינו מתווה כל דרך הוכחה חלופית מלבד "ביקורי מעגל", קרי מסמכים שהתובעת עצמה עורכת, במועדים שהיא בוחרת, ועל פי רישום שהיא מנהלת. רשות המכתיבה כי הראיה היחידה לזכותו של אזרח היא מסמך שהיא עצמה מפיקה, נוטלת לעצמה את תפקיד בעל הדין והשופט גם יחד.</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40.</w:t>
      </w:r>
      <w:r>
        <w:rPr>
          <w:rFonts w:ascii="David" w:cs="David" w:eastAsia="David" w:hAnsi="David"/>
          <w:sz w:val="24"/>
          <w:szCs w:val="24"/>
          <w:rtl/>
        </w:rPr>
        <w:tab/>
      </w:r>
      <w:r>
        <w:rPr>
          <w:rFonts w:ascii="David" w:cs="David" w:eastAsia="David" w:hAnsi="David"/>
          <w:b/>
          <w:bCs/>
          <w:i w:val="false"/>
          <w:iCs w:val="false"/>
          <w:sz w:val="24"/>
          <w:szCs w:val="24"/>
          <w:rtl/>
        </w:rPr>
        <w:t xml:space="preserve">היעדר שימוע והיעדר המצאה.</w:t>
      </w:r>
      <w:r>
        <w:rPr>
          <w:rFonts w:ascii="David" w:cs="David" w:eastAsia="David" w:hAnsi="David"/>
          <w:b w:val="false"/>
          <w:bCs w:val="false"/>
          <w:i w:val="false"/>
          <w:iCs w:val="false"/>
          <w:sz w:val="24"/>
          <w:szCs w:val="24"/>
          <w:rtl/>
        </w:rPr>
        <w:t xml:space="preserve"> אין בנספח 4, ואין בכתב התביעה כולו, ולו רמז לכך שהנתבעת זומנה לוועדה, שנשמעה בפניה, שהוצגו בפניה הראיות שנאספו נגדה, או שההחלטה הומצאה לה אי-פעם. זכות הטיעון היא מאבני היסוד של המשפט המינהלי, וחומרת הפגיעה בה גוברת ככל שהזכות הנפגעת יסודית יותר.</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אשר על כן, וכעניין של תקיפה עקיפה, מתבקש בית המשפט הנכבד לקבוע כי "ההחלטה" נעדרת תוקף, ומשכך אין בה כדי להקים לתובעת עילה כלשהי.</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ד. חומר הרווחה, מצוקת הדיור המתועדת של הנתבעת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ולא למותר להזכיר, כי מצוקת הדיור של הנתבעת אינה טענה שנולדה לצורך ההליך דנא, אלא עובדה מתועדת מזה שנים ארוכות, ובידי גורמי הרווחה עצמם.</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בשנת 2013, למעלה מעשור בטרם פטירת אביה, פנתה הנתבעת בכתב אל משרד הבינוי והשיכון בבקשה לפתרון דיור. במכתבה תיארה את מצבה: ללא קורת גג משלה, מתגוררת בדירה שכורה בחסדי בני משפחה, יחד עם שלושת ילדיה הקטנים, ובמצוקה כלכלית קשה. הפנייה נמסרה באמצעות מרכז אלונים, מקבוצת מ.ג.ע.ר., שהוא גורם רווחה ושיקום, ואושרה בחותמתו כ"העתק נאמן למקור" ביום 28.6.2013.</w:t>
      </w:r>
    </w:p>
    <w:p>
      <w:pPr>
        <w:keepLines/>
        <w:bidi/>
        <w:spacing w:after="160" w:line="360" w:lineRule="auto"/>
        <w:ind w:start="680" w:end="200"/>
        <w:jc w:val="both"/>
      </w:pPr>
      <w:r>
        <w:rPr>
          <w:rFonts w:ascii="David" w:cs="David" w:eastAsia="David" w:hAnsi="David"/>
          <w:b/>
          <w:bCs/>
          <w:i w:val="false"/>
          <w:iCs w:val="false"/>
          <w:sz w:val="24"/>
          <w:szCs w:val="24"/>
          <w:rtl/>
        </w:rPr>
        <w:t xml:space="preserve">העתק מכתב הפנייה, נושא חותמת מרכז אלונים מיום 28.6.2013, מצ"ב ומסומן כנספח ד'.</w:t>
      </w:r>
    </w:p>
    <w:p>
      <w:pPr>
        <w:bidi/>
        <w:spacing w:after="160" w:line="360" w:lineRule="auto"/>
        <w:ind w:start="680" w:end="200"/>
        <w:jc w:val="both"/>
      </w:pPr>
      <w:r>
        <w:rPr>
          <w:rFonts w:ascii="David" w:cs="David" w:eastAsia="David" w:hAnsi="David"/>
          <w:b w:val="false"/>
          <w:bCs w:val="false"/>
          <w:i/>
          <w:iCs/>
          <w:sz w:val="24"/>
          <w:szCs w:val="24"/>
          <w:highlight w:val="yellow"/>
          <w:highlightCs w:val="yellow"/>
          <w:rtl/>
        </w:rPr>
        <w:t xml:space="preserve">[להשלמה: קיים מכתב המלצה נפרד מגורם הרווחה? אם כן, לצרפו כנספח ד'1, לציין שם ותפקיד עובד/ת הרווחה ותאריך, ולהוסיף כאן: "ודוק; גורם הרווחה אף צירף את המלצתו כי יש להעניק לנתבעת פתרון דיור." אם לא, להותיר את הפרק כמות שהוא, שכן הטיעון עומד גם בלעדיו.]</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שלוש מסקנות נגזרות מכך, וכל אחת מהן עומדת בפני עצמה. </w:t>
      </w:r>
      <w:r>
        <w:rPr>
          <w:rFonts w:ascii="David" w:cs="David" w:eastAsia="David" w:hAnsi="David"/>
          <w:b/>
          <w:bCs/>
          <w:i w:val="false"/>
          <w:iCs w:val="false"/>
          <w:sz w:val="24"/>
          <w:szCs w:val="24"/>
          <w:rtl/>
        </w:rPr>
        <w:t xml:space="preserve">ראשית</w:t>
      </w:r>
      <w:r>
        <w:rPr>
          <w:rFonts w:ascii="David" w:cs="David" w:eastAsia="David" w:hAnsi="David"/>
          <w:b w:val="false"/>
          <w:bCs w:val="false"/>
          <w:i w:val="false"/>
          <w:iCs w:val="false"/>
          <w:sz w:val="24"/>
          <w:szCs w:val="24"/>
          <w:rtl/>
        </w:rPr>
        <w:t xml:space="preserve">, הנתבעת אינה "פולשת" אופורטוניסטית שצצה עם פטירת אביה. עסקינן באישה שמצוקת הדיור שלה מתועדת בכתב, ובאישורו של גורם רווחה מוסמך, כבר בשנת 2013. הרטוריקה שבסעיף 23 לכתב התביעה, בדבר "התנהלותה המקוממת" של הנתבעת, מקוממת היא עצמה.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45.</w:t>
      </w:r>
      <w:r>
        <w:rPr>
          <w:rFonts w:ascii="David" w:cs="David" w:eastAsia="David" w:hAnsi="David"/>
          <w:sz w:val="24"/>
          <w:szCs w:val="24"/>
          <w:rtl/>
        </w:rPr>
        <w:tab/>
      </w:r>
      <w:r>
        <w:rPr>
          <w:rFonts w:ascii="David" w:cs="David" w:eastAsia="David" w:hAnsi="David"/>
          <w:b/>
          <w:bCs/>
          <w:i w:val="false"/>
          <w:iCs w:val="false"/>
          <w:sz w:val="24"/>
          <w:szCs w:val="24"/>
          <w:rtl/>
        </w:rPr>
        <w:t xml:space="preserve">שנית</w:t>
      </w:r>
      <w:r>
        <w:rPr>
          <w:rFonts w:ascii="David" w:cs="David" w:eastAsia="David" w:hAnsi="David"/>
          <w:b w:val="false"/>
          <w:bCs w:val="false"/>
          <w:i w:val="false"/>
          <w:iCs w:val="false"/>
          <w:sz w:val="24"/>
          <w:szCs w:val="24"/>
          <w:rtl/>
        </w:rPr>
        <w:t xml:space="preserve">, התובעת, כרשות מינהלית, חייבת היתה לשקול את מצבה של הנתבעת בטרם תקבל החלטה בעניינה. עיון בנספח 4 מלמד כי לא נשקל דבר: אין באותו טופס ולו התייחסות אחת למצבה של הנתבעת, לילדיה, למצבה הכלכלי, למצבה הרפואי או לחומר הרווחה המצוי בידי המדינה. החלטה מינהלית המתעלמת ממכלול השיקולים הרלוונטיים, פסולה.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46.</w:t>
      </w:r>
      <w:r>
        <w:rPr>
          <w:rFonts w:ascii="David" w:cs="David" w:eastAsia="David" w:hAnsi="David"/>
          <w:sz w:val="24"/>
          <w:szCs w:val="24"/>
          <w:rtl/>
        </w:rPr>
        <w:tab/>
      </w:r>
      <w:r>
        <w:rPr>
          <w:rFonts w:ascii="David" w:cs="David" w:eastAsia="David" w:hAnsi="David"/>
          <w:b/>
          <w:bCs/>
          <w:i w:val="false"/>
          <w:iCs w:val="false"/>
          <w:sz w:val="24"/>
          <w:szCs w:val="24"/>
          <w:rtl/>
        </w:rPr>
        <w:t xml:space="preserve">שלישית</w:t>
      </w:r>
      <w:r>
        <w:rPr>
          <w:rFonts w:ascii="David" w:cs="David" w:eastAsia="David" w:hAnsi="David"/>
          <w:b w:val="false"/>
          <w:bCs w:val="false"/>
          <w:i w:val="false"/>
          <w:iCs w:val="false"/>
          <w:sz w:val="24"/>
          <w:szCs w:val="24"/>
          <w:rtl/>
        </w:rPr>
        <w:t xml:space="preserve">, ולעניין הסעד. סעיף 2 לחוק עשיית עושר ולא במשפט, התשל"ט-1979 מסמיך את בית המשפט לפטור מחובת השבה מקום שקיימות "נסיבות אחרות העושות את ההשבה בלתי צודקת". קשה להעלות על הדעת נסיבות מובהקות מאלה: מדינה הדורשת דמי שימוש בשווי שוק מאם לשלושה, שמצוקת הדיור שלה מתועדת בפניה מזה למעלה מעשור.</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ה. גובה החיוב הנטען, מופרך על פניו</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התובעת עותרת לחיוב הנתבעת בסך 36,533.38 ₪. מן הכרטסת שצירפה בעצמה (נספח 5, עמ' 45 עד 47 לכתב התביעה) עולה כי סכום זה מורכב מקרן בסך 34,110.37 ₪, הצמדה בסך 1,551.97 ₪, ריבית בסך 866.05 ₪ ומע"מ בסך 4.99 ₪.</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ודוק; החיוב החודשי שהתובעת גוזרת לעצמה עומד על 2,948.85 ₪. אלא שהתובעת עצמה קבעה, באותה תקופה ממש ובמסמכיה שלה, כי שכר הדירה בגין הדירה דנא הוא 1,456.68 ₪ ברוטו ו-221.19 ₪ נטו. קרי, התובעת דורשת פי שניים ויותר משכר הדירה ברוטו שהיא עצמה קבעה, ופי שלושה עשר ויותר משכר הדירה נטו.</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ומהיכן נגזר הסכום? על כך אין בכתב התביעה ולו מילה אחת: לא צורפה חוות דעת שמאי, לא הוצג נתון השוואתי, ולא הובאה כל אסמכתה חיצונית. הטוען לדמי שימוש ראויים נדרש להוכיח את שוויים, ונטל זה לא הורם ולו במקצת.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יתרה מזאת, הכרטסת אינה ראיה אלא רישום פנימי שהתובעת ערכה לעצמה לאחר מעשה. די להצביע על כך שאותה תקופה עצמה נרשמה בתחילה כ"שכ"ד" (קוד 101), ולאחר מכן הומרה בדיעבד ל"דמי שמוש ראויים" (קוד 103), כדי ללמד על ערכה הראייתי.</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ואשר לריבית ולהצמדה, התובעת גובה אותן מכוח הוראות חוזה השכירות (ר' סעיף 5(ה) לנספח 1), ובה בעת טוענת כי לא מתקיימים בינה לבין הנתבעת יחסים חוזיים כלשהם. יפה היה לה לתובעת אלמלא כתבה בסעיף 21 לכתב תביעתה, כי "הנתבעת אוחזת את המקל בשני קצותיו". דומה כי דבריה מוסבים על עצמה.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ולבסוף, התובעת עותרת לחייב את הנתבעת בדמי שימוש עד למועד מתן פסק הדין, בטענה כי נמנע ממנה להשכיר את הדירה "למי שזכאי לכך על פי חוק". ברם, התביעה לסילוק יד הוגשה על ידה רק בחודש יוני 2026, קרי בחלוף למעלה משנתיים וארבעה חודשים מיום הפטירה. רשות המשתהה פרק זמן כזה, ובכל אותה עת מוסיפה לגבות תשלומים מן המחזיקה, אינה יכולה לבוא ולטעון לנזק מתמשך שהיא עצמה יצרה.</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ו. התייחסות פרטנית לטענות כתב התביעה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1, 5 ו-6 אינו מוכחש. אין באמור כדי לגרוע מטענת פיצול הסעדים, כמפורט בחלק השני לעיל.</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בסעיף 2 מוכחש מכל וכל. הנתבעת לא "פלשה" לדירה; היא אינה "מחזיקה בה בניגוד לדין"; לא נשלחו אליה "התראות חוזרות ונשנות", ולראיה, אף לא התראה אחת צורפה לכתב התביעה; והיא שילמה את הסכומים שנדרשו ממנה בשוברי התובעת.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3 ו-4 מוכחש. הסכום הנתבע אינו מבוסס, כמפורט בפרק ה' לעיל. ויודגש כי סעיף 3 לכתב התביעה נוקט לשון זכר ("כנגד הנתבע", "בה עשה ועושה שימוש"), כמו גם סעיפים נוספים, עדות לכך שכתב התביעה הוא תבנית גנרית שלא הותאמה כלל לעניינה של הנתבעת.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7, 13 ו-14 אינו מוכחש ביחס לזהות הדירה ולזהות הדייר החוזי; מוכחש כל הנטען מעבר לכך. יצוין כי סעיף 14 לכתב התביעה נמנע מלציין את מועד הפטירה, בעוד סעיף 8 נוקב בו במפורש.</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8, 9, 15 ו-16 מוכחש בתוקף. הנתבעת לא "פלשה" ולא "תפסה חזקה"; היא בתו של הדייר החוזי, והתגוררה עמו כמפורט בפרק א' לעיל. ואשר להצהרות המנוח בדבר מגורים "בגפו", הצהרה שנוסחה בידי הרשות והובאה לחתימת קשיש עולה מאתיופיה, בלא תיעוד שפת הביקור ובלא מתרגם, אינה יכולה לחרוץ את גורלה של בתו.</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10, 11, 18 ו-19 מוכחש מכל וכל, מן הטעמים המפורטים בפרקים ב' ו-ג' לעיל. אין "החלטה"; אין הנמקה; אין שימוע; אין המצאה; ואין תשתית עובדתית תקינה.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בסעיף 12 מוכחש; לא היה כל מקום להגיש את כתב התביעה שבכותרת. הנטען בסעיף 17 אינו מוכחש, והדייר החוזי אכן הלך לבית עולמו ביום 16.2.2024.</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60.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ואשר לנטען בסעיף 20, הנתבעת מאמצת דווקא היא את האסמכתאות שהתובעת עצמה הביאה. אכן, כפי שנפסק לא אחת, הדיור הציבורי נועד לספק מענה למגורים לאוכלוסייה שידה אינה משגת לשאת בעלות הכלכלית של מגורים בשוק הפרטי. תכלית זו מכוונת אל הנתבעת, אשה שמצוקת הדיור שלה מתועדת בפני גורמי הרווחה, ולא נגדה. אגב אורחא יוער, כי ההפניה שבסעיף 20 לכתב התביעה אל "עע"ם 6390/21 אלמון" מציינת את התאריך 16.1.2012, קרי כתשע שנים בטרם נפתח אותו הליך.</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61.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21, 22 ו-23 מוכחש מכל וכל ובחריפות. הנתבעת שילמה כל שנדרש ממנה בשוברי התובעת; התובעת היא זו שהמירה, בדיעבד, שכר דירה מסובסד ב"דמי שימוש ראויים" מנופחים; והתובעת היא זו שהחזיקה בכספי הנתבעת. אין בהתנהלות הנתבעת דבר "מקומם", ובוודאי שאין בה כדי להצדיק "הוצאות מוגברות".</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ז. סיכום</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62.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הנתבעת היא בתו של דייר חוזי שהתגורר בדירה דנא כשלושים שנה, ולא "פולשת"; והתובעת עצמה, במסמכיה שלה ולאחר הפטירה, הותירה את החוזה במעמד "פעיל", העניקה הנחת מדרוג שתוקפה עד ליום 30.9.2024, רשמה "חוב בתביעה" בסך 0, וגבתה בפועל תשלומים, לרבות שכר דירה בגין חודשים שלאחר הפטירה.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63.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"החלטת" הוועדה שעליה נסמכת התביעה נעדרת הנמקה, נעדרת שימוע ונעדרת המצאה; היא נסמכת על ביקור שלא נערך ועל טופס הקובע כי אדם שנפטר מתגורר בדירה; ודינה בטלות.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64.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הסכום הנתבע נטול תשתית ראייתית, עומד על פי שלושה עשר משכר הדירה נטו שהתובעת עצמה קבעה, ואינו נתמך בחוות דעת כלשהי.</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65.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אשר על כל המקובץ לעיל מתבקש בזאת בית המשפט הנכבד לדחות את התביעה על הסף ולגופה; לחלופין, למחוק אותה מחמת פיצול סעדים אסור או להורות על איחוד הדיון בה עם ת"א 12718-06-26; לחלופי חלופין, לפטור את הנתבעת מהשבה לפי סעיף 2 לחוק עשיית עושר ולא במשפט, התשל"ט-1979; ולחלופי חלופי חלופין, להעמיד את החיוב על דמי השכירות המסובסדים כפי שנרשמו בידי התובעת עצמה, בניכוי כל התשלומים ששולמו בפועל; ובכל מקרה, לחייב את התובעת בהוצאות הולמות בגין הגשת תביעת סרק, נעדרת עילה ונעדרת תום לב, תוך בזבוז זמן שיפוטי יקר.</w:t>
      </w:r>
    </w:p>
    <w:p>
      <w:pPr>
        <w:keepNext/>
        <w:keepLines/>
        <w:bidi/>
        <w:spacing w:after="140" w:before="260" w:line="360" w:lineRule="auto"/>
        <w:jc w:val="start"/>
      </w:pPr>
      <w:r>
        <w:rPr>
          <w:rFonts w:ascii="David" w:cs="David" w:eastAsia="David" w:hAnsi="David"/>
          <w:b/>
          <w:bCs/>
          <w:i w:val="false"/>
          <w:iCs w:val="false"/>
          <w:sz w:val="24"/>
          <w:szCs w:val="24"/>
          <w:u w:val="single"/>
          <w:rtl/>
        </w:rPr>
        <w:t xml:space="preserve">רשימת נספחים</w:t>
      </w:r>
    </w:p>
    <w:p>
      <w:pPr>
        <w:bidi/>
        <w:spacing w:after="100" w:line="360" w:lineRule="auto"/>
        <w:ind w:start="480"/>
        <w:jc w:val="both"/>
      </w:pPr>
      <w:r>
        <w:rPr>
          <w:rFonts w:ascii="David" w:cs="David" w:eastAsia="David" w:hAnsi="David"/>
          <w:b w:val="false"/>
          <w:bCs w:val="false"/>
          <w:i w:val="false"/>
          <w:iCs w:val="false"/>
          <w:sz w:val="24"/>
          <w:szCs w:val="24"/>
          <w:rtl/>
        </w:rPr>
        <w:t xml:space="preserve">נספח א' - קבלה-חשבונית עמידר מס' 9007915735 מיום 23.7.2024, בגין שכ"ד לחודשים 02/2024 עד 07/2024, בסך 1,355.71 ₪.</w:t>
      </w:r>
    </w:p>
    <w:p>
      <w:pPr>
        <w:bidi/>
        <w:spacing w:after="100" w:line="360" w:lineRule="auto"/>
        <w:ind w:start="480"/>
        <w:jc w:val="both"/>
      </w:pPr>
      <w:r>
        <w:rPr>
          <w:rFonts w:ascii="David" w:cs="David" w:eastAsia="David" w:hAnsi="David"/>
          <w:b w:val="false"/>
          <w:bCs w:val="false"/>
          <w:i w:val="false"/>
          <w:iCs w:val="false"/>
          <w:sz w:val="24"/>
          <w:szCs w:val="24"/>
          <w:rtl/>
        </w:rPr>
        <w:t xml:space="preserve">נספח ב' - שובר עמידר מס' 9007925756 מיום 17.9.2024, בגין "דמי שמוש ראויים" לחודשים 02/2024 עד 09/2024, בסך 21,730.81 ₪.</w:t>
      </w:r>
    </w:p>
    <w:p>
      <w:pPr>
        <w:bidi/>
        <w:spacing w:after="100" w:line="360" w:lineRule="auto"/>
        <w:ind w:start="480"/>
        <w:jc w:val="both"/>
      </w:pPr>
      <w:r>
        <w:rPr>
          <w:rFonts w:ascii="David" w:cs="David" w:eastAsia="David" w:hAnsi="David"/>
          <w:b w:val="false"/>
          <w:bCs w:val="false"/>
          <w:i w:val="false"/>
          <w:iCs w:val="false"/>
          <w:sz w:val="24"/>
          <w:szCs w:val="24"/>
          <w:rtl/>
        </w:rPr>
        <w:t xml:space="preserve">נספח ג' - אישור בנק יהב מיום 27.3.2025 על תשלום שובר לפקודת עמידר בסך 2,911.01 ₪.</w:t>
      </w:r>
    </w:p>
    <w:p>
      <w:pPr>
        <w:bidi/>
        <w:spacing w:after="100" w:line="360" w:lineRule="auto"/>
        <w:ind w:start="480"/>
        <w:jc w:val="both"/>
      </w:pPr>
      <w:r>
        <w:rPr>
          <w:rFonts w:ascii="David" w:cs="David" w:eastAsia="David" w:hAnsi="David"/>
          <w:b w:val="false"/>
          <w:bCs w:val="false"/>
          <w:i w:val="false"/>
          <w:iCs w:val="false"/>
          <w:sz w:val="24"/>
          <w:szCs w:val="24"/>
          <w:rtl/>
        </w:rPr>
        <w:t xml:space="preserve">נספח ד' - מכתב פנייה של הנתבעת אל משרד הבינוי והשיכון, מאושר כ"העתק נאמן למקור" בידי מרכז אלונים (מקבוצת מ.ג.ע.ר.) ביום 28.6.2013.</w:t>
      </w:r>
    </w:p>
    <w:p>
      <w:pPr>
        <w:bidi/>
        <w:spacing w:after="100" w:line="360" w:lineRule="auto"/>
        <w:ind w:start="480"/>
        <w:jc w:val="both"/>
      </w:pPr>
      <w:r>
        <w:rPr>
          <w:rFonts w:ascii="David" w:cs="David" w:eastAsia="David" w:hAnsi="David"/>
          <w:b w:val="false"/>
          <w:bCs w:val="false"/>
          <w:i w:val="false"/>
          <w:iCs w:val="false"/>
          <w:sz w:val="24"/>
          <w:szCs w:val="24"/>
          <w:rtl/>
        </w:rPr>
        <w:t xml:space="preserve">נספח ה' - בקשת הנתבעת להקניית זכויות כדיירת ממשיכה, על נספחיה.</w:t>
      </w:r>
    </w:p>
    <w:p>
      <w:pPr>
        <w:bidi/>
        <w:spacing w:after="100" w:line="360" w:lineRule="auto"/>
        <w:ind w:start="480"/>
        <w:jc w:val="both"/>
      </w:pPr>
      <w:r>
        <w:rPr>
          <w:rFonts w:ascii="David" w:cs="David" w:eastAsia="David" w:hAnsi="David"/>
          <w:b w:val="false"/>
          <w:bCs w:val="false"/>
          <w:i w:val="false"/>
          <w:iCs w:val="false"/>
          <w:sz w:val="24"/>
          <w:szCs w:val="24"/>
          <w:rtl/>
        </w:rPr>
        <w:t xml:space="preserve">נספח ו' - ייפוי כוח.</w:t>
      </w:r>
    </w:p>
    <w:p>
      <w:pPr>
        <w:bidi/>
        <w:spacing w:after="160" w:line="360" w:lineRule="auto"/>
        <w:ind w:start="680" w:end="200"/>
        <w:jc w:val="both"/>
      </w:pPr>
      <w:r>
        <w:rPr>
          <w:rFonts w:ascii="David" w:cs="David" w:eastAsia="David" w:hAnsi="David"/>
          <w:b w:val="false"/>
          <w:bCs w:val="false"/>
          <w:i/>
          <w:iCs/>
          <w:sz w:val="24"/>
          <w:szCs w:val="24"/>
          <w:highlight w:val="yellow"/>
          <w:highlightCs w:val="yellow"/>
          <w:rtl/>
        </w:rPr>
        <w:t xml:space="preserve">[להשלמה: לצרף בפועל את נספחים ה' ו-ו'. אם בקשת ההכרה אינה בידי הנתבעת, לפרט בתצהיר את הנסיבות (תקנה 79(א)(2) סיפא).]</w:t>
      </w:r>
    </w:p>
    <w:p>
      <w:pPr>
        <w:bidi/>
        <w:spacing w:after="0" w:before="22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0" w:line="240" w:lineRule="auto"/>
        <w:jc w:val="center"/>
      </w:pPr>
      <w:r>
        <w:rPr>
          <w:rFonts w:ascii="David" w:cs="David" w:eastAsia="David" w:hAnsi="David"/>
          <w:b/>
          <w:bCs/>
          <w:i w:val="false"/>
          <w:iCs w:val="false"/>
          <w:sz w:val="24"/>
          <w:szCs w:val="24"/>
          <w:highlight w:val="yellow"/>
          <w:highlightCs w:val="yellow"/>
          <w:rtl/>
        </w:rPr>
        <w:t xml:space="preserve">[שם עורך/ת הדין]</w:t>
      </w:r>
      <w:r>
        <w:rPr>
          <w:rFonts w:ascii="David" w:cs="David" w:eastAsia="David" w:hAnsi="David"/>
          <w:b/>
          <w:bCs/>
          <w:i w:val="false"/>
          <w:iCs w:val="false"/>
          <w:sz w:val="24"/>
          <w:szCs w:val="24"/>
          <w:rtl/>
        </w:rPr>
        <w:t xml:space="preserve">, עו"ד, מ.ר. ________</w:t>
      </w:r>
    </w:p>
    <w:p>
      <w:pPr>
        <w:bidi/>
        <w:spacing w:line="240" w:lineRule="auto"/>
        <w:jc w:val="center"/>
      </w:pPr>
      <w:r>
        <w:rPr>
          <w:rFonts w:ascii="David" w:cs="David" w:eastAsia="David" w:hAnsi="David"/>
          <w:b/>
          <w:bCs/>
          <w:i w:val="false"/>
          <w:iCs w:val="false"/>
          <w:sz w:val="24"/>
          <w:szCs w:val="24"/>
          <w:rtl/>
        </w:rPr>
        <w:t xml:space="preserve">ב"כ הנתבעת</w:t>
      </w:r>
    </w:p>
    <w:p>
      <w:pPr>
        <w:keepNext/>
        <w:keepLines/>
        <w:pageBreakBefore/>
        <w:bidi/>
        <w:spacing w:after="320" w:before="340" w:line="360" w:lineRule="auto"/>
        <w:jc w:val="center"/>
      </w:pPr>
      <w:r>
        <w:rPr>
          <w:rFonts w:ascii="David" w:cs="David" w:eastAsia="David" w:hAnsi="David"/>
          <w:b/>
          <w:bCs/>
          <w:i w:val="false"/>
          <w:iCs w:val="false"/>
          <w:sz w:val="32"/>
          <w:szCs w:val="32"/>
          <w:u w:val="single"/>
          <w:rtl/>
        </w:rPr>
        <w:t xml:space="preserve">תצהיר מטעם הנתבעת ורשימת מסמכים</w:t>
      </w:r>
    </w:p>
    <w:p>
      <w:pPr>
        <w:keepNext/>
        <w:bidi/>
        <w:spacing w:after="220" w:line="300" w:lineRule="auto"/>
        <w:jc w:val="center"/>
      </w:pPr>
      <w:r>
        <w:rPr>
          <w:rFonts w:ascii="David" w:cs="David" w:eastAsia="David" w:hAnsi="David"/>
          <w:b w:val="false"/>
          <w:bCs w:val="false"/>
          <w:i w:val="false"/>
          <w:iCs w:val="false"/>
          <w:sz w:val="22"/>
          <w:szCs w:val="22"/>
          <w:rtl/>
        </w:rPr>
        <w:t xml:space="preserve">בבית משפט השלום בפתח תקווה, ת"א ______ | עמידר, החברה הלאומית לשיכון בישראל בע"מ (התובעת) נגד טדילה וונדימאג'ן (הנתבעת) | תצהיר ערוך לפי טופס 5 שבתוספת הראשונה לתקנות סדר הדין האזרחי, התשע"ט-2018.</w:t>
      </w:r>
    </w:p>
    <w:p>
      <w:pPr>
        <w:bidi/>
        <w:spacing w:after="200" w:before="0" w:line="360" w:lineRule="auto"/>
        <w:jc w:val="both"/>
      </w:pPr>
      <w:r>
        <w:rPr>
          <w:rFonts w:ascii="David" w:cs="David" w:eastAsia="David" w:hAnsi="David"/>
          <w:b w:val="false"/>
          <w:bCs w:val="false"/>
          <w:i w:val="false"/>
          <w:iCs w:val="false"/>
          <w:sz w:val="24"/>
          <w:szCs w:val="24"/>
          <w:rtl/>
        </w:rPr>
        <w:t xml:space="preserve">אני החתומה מטה, טדילה וונדימאג'ן, ת.ז. 303214373, מרח' צה"ל 72/6 פתח תקווה, לאחר שהוזהרתי כי עליי לומר את האמת וכי אהיה צפויה לעונשים הקבועים בחוק אם לא אעשה כן, מצהירה בזאת כדלקמן:</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הריני עושה תצהירי זה כתצהיר תומך לכתב ההגנה מטעמי בתובענה שבכותרת, לפי תקנה 79(א)(1) לתקנות.</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העובדות המפורטות בכתב ההגנה, להבדיל מן הטענות המשפטיות ומן המסקנות שבו, נכונות והן ידועות לי מידיעתי האישית; ואילו העובדות הנוגעות למסמכי התובעת ולתוכנם ידועות לי מתוך המסמכים עצמם, המצורפים לכתב התביעה.</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התגוררתי עם אבי המנוח, מר מנבר וונדימאג'ן ז"ל, ת.ז. 303214381, בדירה ברח' צה"ל 72/6 בפתח תקווה, החל מיום __________ ועד לפטירתו ביום 16.2.2024, ובשנותיו האחרונות אף טיפלתי בו.</w:t>
      </w:r>
    </w:p>
    <w:p>
      <w:pPr>
        <w:bidi/>
        <w:spacing w:after="160" w:line="360" w:lineRule="auto"/>
        <w:ind w:start="680" w:end="200"/>
        <w:jc w:val="both"/>
      </w:pPr>
      <w:r>
        <w:rPr>
          <w:rFonts w:ascii="David" w:cs="David" w:eastAsia="David" w:hAnsi="David"/>
          <w:b w:val="false"/>
          <w:bCs w:val="false"/>
          <w:i/>
          <w:iCs/>
          <w:sz w:val="24"/>
          <w:szCs w:val="24"/>
          <w:highlight w:val="yellow"/>
          <w:highlightCs w:val="yellow"/>
          <w:rtl/>
        </w:rPr>
        <w:t xml:space="preserve">[להשלמה: מועד תחילת המגורים המשותפים, בהתאמה לסעיף 22 לכתב ההגנה. אין להגיש את התצהיר בלעדיו.]</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רשימת המסמכים הנוגעים לעניין הנדון, המצויים או שהיו מצויים ברשותי או בשליטתי ואשר איתרתי לאחר חקירה ודרישה, היא נספחים א' עד ה' כמפורט ברשימת הנספחים שבכתב ההגנה.</w:t>
      </w:r>
    </w:p>
    <w:p>
      <w:pPr>
        <w:bidi/>
        <w:spacing w:after="160" w:line="360" w:lineRule="auto"/>
        <w:ind w:start="680" w:end="200"/>
        <w:jc w:val="both"/>
      </w:pPr>
      <w:r>
        <w:rPr>
          <w:rFonts w:ascii="David" w:cs="David" w:eastAsia="David" w:hAnsi="David"/>
          <w:b w:val="false"/>
          <w:bCs w:val="false"/>
          <w:i/>
          <w:iCs/>
          <w:sz w:val="24"/>
          <w:szCs w:val="24"/>
          <w:highlight w:val="yellow"/>
          <w:highlightCs w:val="yellow"/>
          <w:rtl/>
        </w:rPr>
        <w:t xml:space="preserve">[להשלמה: להוסיף לרשימה כל מסמך נוסף בידי הנתבעת. ר' פירוט בצ'ק-ליסט שבפתח המסמך.]</w:t>
      </w:r>
    </w:p>
    <w:p>
      <w:pPr>
        <w:tabs>
          <w:tab w:val="start" w:pos="480"/>
        </w:tabs>
        <w:bidi/>
        <w:spacing w:after="140"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זהו שמי, זו חתימתי ותוכן תצהירי אמת.</w:t>
      </w:r>
    </w:p>
    <w:p>
      <w:pPr>
        <w:bidi/>
        <w:spacing w:after="0" w:before="22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240" w:line="240" w:lineRule="auto"/>
        <w:jc w:val="center"/>
      </w:pPr>
      <w:r>
        <w:rPr>
          <w:rFonts w:ascii="David" w:cs="David" w:eastAsia="David" w:hAnsi="David"/>
          <w:b/>
          <w:bCs/>
          <w:i w:val="false"/>
          <w:iCs w:val="false"/>
          <w:sz w:val="24"/>
          <w:szCs w:val="24"/>
          <w:rtl/>
        </w:rPr>
        <w:t xml:space="preserve">טדילה וונדימאג'ן</w:t>
      </w:r>
    </w:p>
    <w:p>
      <w:pPr>
        <w:bidi/>
        <w:spacing w:after="140" w:before="240"/>
        <w:jc w:val="center"/>
      </w:pPr>
      <w:r>
        <w:rPr>
          <w:rFonts w:ascii="David" w:cs="David" w:eastAsia="David" w:hAnsi="David"/>
          <w:b/>
          <w:bCs/>
          <w:i w:val="false"/>
          <w:iCs w:val="false"/>
          <w:sz w:val="24"/>
          <w:szCs w:val="24"/>
          <w:u w:val="single"/>
          <w:rtl/>
        </w:rPr>
        <w:t xml:space="preserve">א י ש ו ר</w:t>
      </w:r>
    </w:p>
    <w:p>
      <w:pPr>
        <w:bidi/>
        <w:spacing w:after="120" w:before="0" w:line="360" w:lineRule="auto"/>
        <w:jc w:val="both"/>
      </w:pPr>
      <w:r>
        <w:rPr>
          <w:rFonts w:ascii="David" w:cs="David" w:eastAsia="David" w:hAnsi="David"/>
          <w:b w:val="false"/>
          <w:bCs w:val="false"/>
          <w:i w:val="false"/>
          <w:iCs w:val="false"/>
          <w:sz w:val="24"/>
          <w:szCs w:val="24"/>
          <w:rtl/>
        </w:rPr>
        <w:t xml:space="preserve">הריני לאשר כי ביום __________ הופיעה בפניי, במשרדי ברח' ____________________, גב' טדילה וונדימאג'ן, שזיהיתיה לפי תעודת זהות מספר 303214373, ולאחר שהזהרתיה כי עליה לומר את האמת ואת האמת בלבד, וכי תהיה צפויה לעונשים הקבועים בחוק אם לא תעשה כן, אישרה את נכונות הצהרתה דלעיל וחתמה עליה בפניי.</w:t>
      </w:r>
    </w:p>
    <w:p>
      <w:pPr>
        <w:bidi/>
        <w:spacing w:after="0" w:before="22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0" w:line="240" w:lineRule="auto"/>
        <w:jc w:val="center"/>
      </w:pPr>
      <w:r>
        <w:rPr>
          <w:rFonts w:ascii="David" w:cs="David" w:eastAsia="David" w:hAnsi="David"/>
          <w:b/>
          <w:bCs/>
          <w:i w:val="false"/>
          <w:iCs w:val="false"/>
          <w:sz w:val="24"/>
          <w:szCs w:val="24"/>
          <w:highlight w:val="yellow"/>
          <w:highlightCs w:val="yellow"/>
          <w:rtl/>
        </w:rPr>
        <w:t xml:space="preserve">[שם עורך/ת הדין]</w:t>
      </w:r>
      <w:r>
        <w:rPr>
          <w:rFonts w:ascii="David" w:cs="David" w:eastAsia="David" w:hAnsi="David"/>
          <w:b/>
          <w:bCs/>
          <w:i w:val="false"/>
          <w:iCs w:val="false"/>
          <w:sz w:val="24"/>
          <w:szCs w:val="24"/>
          <w:rtl/>
        </w:rPr>
        <w:t xml:space="preserve">, עו"ד, מ.ר. ________</w:t>
      </w:r>
    </w:p>
    <w:sectPr>
      <w:footerReference w:type="default" r:id="rId7"/>
      <w:pgSz w:w="11906" w:h="16838" w:orient="portrait"/>
      <w:pgMar w:top="850" w:right="1417" w:bottom="646" w:left="1417" w:header="340" w:footer="340" w:gutter="0"/>
      <w:bidi/>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bidi/>
        <w:ind w:start="720" w:hanging="360"/>
      </w:pPr>
    </w:lvl>
    <w:lvl w:ilvl="1" w15:tentative="1">
      <w:start w:val="1"/>
      <w:numFmt w:val="bullet"/>
      <w:lvlText w:val="○"/>
      <w:lvlJc w:val="left"/>
      <w:pPr>
        <w:bidi/>
        <w:ind w:start="1440" w:hanging="360"/>
      </w:pPr>
    </w:lvl>
    <w:lvl w:ilvl="2" w15:tentative="1">
      <w:start w:val="1"/>
      <w:numFmt w:val="bullet"/>
      <w:lvlText w:val="■"/>
      <w:lvlJc w:val="left"/>
      <w:pPr>
        <w:bidi/>
        <w:ind w:start="2160" w:hanging="360"/>
      </w:pPr>
    </w:lvl>
    <w:lvl w:ilvl="3" w15:tentative="1">
      <w:start w:val="1"/>
      <w:numFmt w:val="bullet"/>
      <w:lvlText w:val="●"/>
      <w:lvlJc w:val="left"/>
      <w:pPr>
        <w:bidi/>
        <w:ind w:start="2880" w:hanging="360"/>
      </w:pPr>
    </w:lvl>
    <w:lvl w:ilvl="4" w15:tentative="1">
      <w:start w:val="1"/>
      <w:numFmt w:val="bullet"/>
      <w:lvlText w:val="○"/>
      <w:lvlJc w:val="left"/>
      <w:pPr>
        <w:bidi/>
        <w:ind w:start="3600" w:hanging="360"/>
      </w:pPr>
    </w:lvl>
    <w:lvl w:ilvl="5" w15:tentative="1">
      <w:start w:val="1"/>
      <w:numFmt w:val="bullet"/>
      <w:lvlText w:val="■"/>
      <w:lvlJc w:val="left"/>
      <w:pPr>
        <w:bidi/>
        <w:ind w:start="4320" w:hanging="360"/>
      </w:pPr>
    </w:lvl>
    <w:lvl w:ilvl="6" w15:tentative="1">
      <w:start w:val="1"/>
      <w:numFmt w:val="bullet"/>
      <w:lvlText w:val="●"/>
      <w:lvlJc w:val="left"/>
      <w:pPr>
        <w:bidi/>
        <w:ind w:start="5040" w:hanging="360"/>
      </w:pPr>
    </w:lvl>
    <w:lvl w:ilvl="7" w15:tentative="1">
      <w:start w:val="1"/>
      <w:numFmt w:val="bullet"/>
      <w:lvlText w:val="●"/>
      <w:lvlJc w:val="left"/>
      <w:pPr>
        <w:bidi/>
        <w:ind w:start="5760" w:hanging="360"/>
      </w:pPr>
    </w:lvl>
    <w:lvl w:ilvl="8" w15:tentative="1">
      <w:start w:val="1"/>
      <w:numFmt w:val="bullet"/>
      <w:lvlText w:val="●"/>
      <w:lvlJc w:val="left"/>
      <w:pPr>
        <w:bidi/>
        <w:ind w:star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2026-08-12T12:27:27.906Z</dcterms:created>
  <dcterms:modified xsi:type="dcterms:W3CDTF">2026-08-12T12:27:27.906Z</dcterms:modified>
</cp:coreProperties>
</file>

<file path=docProps/custom.xml><?xml version="1.0" encoding="utf-8"?>
<Properties xmlns="http://schemas.openxmlformats.org/officeDocument/2006/custom-properties" xmlns:vt="http://schemas.openxmlformats.org/officeDocument/2006/docPropsVTypes"/>
</file>