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772"/>
        <w:gridCol w:w="3300"/>
      </w:tblGrid>
      <w:tr>
        <w:tc>
          <w:tcPr>
            <w:tcW w:type="dxa" w:w="57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6"/>
                <w:szCs w:val="26"/>
                <w:rtl/>
              </w:rPr>
              <w:t xml:space="preserve">בבית המשפט לענייני משפחה בחיפה</w:t>
            </w:r>
          </w:p>
        </w:tc>
        <w:tc>
          <w:tcPr>
            <w:tcW w:type="dxa" w:w="33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end"/>
            </w:pPr>
            <w:r>
              <w:rPr>
                <w:rFonts w:ascii="David" w:cs="David" w:eastAsia="David" w:hAnsi="David"/>
                <w:b/>
                <w:bCs/>
                <w:sz w:val="26"/>
                <w:szCs w:val="26"/>
                <w:rtl/>
              </w:rPr>
              <w:t xml:space="preserve">תלה"מ 21221-03-25</w:t>
            </w:r>
          </w:p>
        </w:tc>
      </w:tr>
    </w:tbl>
    <w:p>
      <w:pPr>
        <w:bidi/>
        <w:spacing w:after="60" w:before="200" w:line="360" w:lineRule="auto"/>
        <w:jc w:val="start"/>
      </w:pPr>
      <w:r>
        <w:rPr>
          <w:rFonts w:ascii="David" w:cs="David" w:eastAsia="David" w:hAnsi="David"/>
          <w:b/>
          <w:bCs/>
          <w:sz w:val="24"/>
          <w:szCs w:val="24"/>
          <w:u w:val="single"/>
          <w:rtl/>
        </w:rPr>
        <w:t xml:space="preserve">בעניין הקטינים: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500"/>
        <w:gridCol w:w="2500"/>
      </w:tblGrid>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1.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2.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3.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המבקשת:</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שרה חד</w:t>
            </w:r>
            <w:r>
              <w:rPr>
                <w:rFonts w:ascii="David" w:cs="David" w:eastAsia="David" w:hAnsi="David"/>
                <w:sz w:val="24"/>
                <w:szCs w:val="24"/>
                <w:rtl/>
              </w:rPr>
              <w:t xml:space="preserve">, ת.ז. 454455511</w:t>
            </w:r>
          </w:p>
          <w:p>
            <w:pPr>
              <w:bidi/>
              <w:spacing w:after="0" w:line="300" w:lineRule="auto"/>
              <w:jc w:val="start"/>
            </w:pPr>
            <w:r>
              <w:rPr>
                <w:rFonts w:ascii="David" w:cs="David" w:eastAsia="David" w:hAnsi="David"/>
                <w:sz w:val="24"/>
                <w:szCs w:val="24"/>
                <w:rtl/>
              </w:rPr>
              <w:t xml:space="preserve">מרחוב ______________, חיפה</w:t>
            </w:r>
          </w:p>
          <w:p>
            <w:pPr>
              <w:bidi/>
              <w:spacing w:after="0" w:line="300" w:lineRule="auto"/>
              <w:jc w:val="start"/>
            </w:pPr>
            <w:r>
              <w:rPr>
                <w:rFonts w:ascii="David" w:cs="David" w:eastAsia="David" w:hAnsi="David"/>
                <w:sz w:val="24"/>
                <w:szCs w:val="24"/>
                <w:rtl/>
              </w:rPr>
              <w:t xml:space="preserve">ע"י ב"כ עו"ד סולומון טקה, מ.ר. ______, מרחוב __________; טל' ______</w:t>
            </w:r>
          </w:p>
        </w:tc>
      </w:tr>
    </w:tbl>
    <w:p>
      <w:pPr>
        <w:bidi/>
        <w:spacing w:after="60" w:before="60" w:line="360" w:lineRule="auto"/>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המשיב:</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______________ (שם מלא)</w:t>
            </w:r>
            <w:r>
              <w:rPr>
                <w:rFonts w:ascii="David" w:cs="David" w:eastAsia="David" w:hAnsi="David"/>
                <w:sz w:val="24"/>
                <w:szCs w:val="24"/>
                <w:rtl/>
              </w:rPr>
              <w:t xml:space="preserve">, ת.ז. ______________</w:t>
            </w:r>
          </w:p>
          <w:p>
            <w:pPr>
              <w:bidi/>
              <w:spacing w:after="0" w:line="300" w:lineRule="auto"/>
              <w:jc w:val="start"/>
            </w:pPr>
            <w:r>
              <w:rPr>
                <w:rFonts w:ascii="David" w:cs="David" w:eastAsia="David" w:hAnsi="David"/>
                <w:sz w:val="24"/>
                <w:szCs w:val="24"/>
                <w:rtl/>
              </w:rPr>
              <w:t xml:space="preserve">מרחוב ______________, באר שבע</w:t>
            </w:r>
          </w:p>
        </w:tc>
      </w:tr>
    </w:tbl>
    <w:p>
      <w:pPr>
        <w:bidi/>
        <w:spacing w:after="0" w:before="160" w:line="360" w:lineRule="auto"/>
        <w:jc w:val="center"/>
      </w:pPr>
      <w:r>
        <w:rPr>
          <w:rFonts w:ascii="David" w:cs="David" w:eastAsia="David" w:hAnsi="David"/>
          <w:b/>
          <w:bCs/>
          <w:sz w:val="28"/>
          <w:szCs w:val="28"/>
          <w:u w:val="single"/>
          <w:rtl/>
        </w:rPr>
        <w:t xml:space="preserve">בקשה דחופה לקביעת המבקשת כאפוטרופסית יחידה וקבועה לקטינים, ולמתן סעד זמני</w:t>
      </w:r>
    </w:p>
    <w:p>
      <w:pPr>
        <w:bidi/>
        <w:spacing w:after="160" w:before="0" w:line="360" w:lineRule="auto"/>
        <w:jc w:val="center"/>
      </w:pPr>
      <w:r>
        <w:rPr>
          <w:rFonts w:ascii="David" w:cs="David" w:eastAsia="David" w:hAnsi="David"/>
          <w:sz w:val="24"/>
          <w:szCs w:val="24"/>
          <w:rtl/>
        </w:rPr>
        <w:t xml:space="preserve">(לפי סעיפים 17, 19 ו-68 לחוק הכשרות המשפטית והאפוטרופסות, התשכ"ב-1962)</w:t>
      </w:r>
    </w:p>
    <w:p>
      <w:pPr>
        <w:bidi/>
        <w:spacing w:after="120" w:before="0" w:line="360" w:lineRule="auto"/>
        <w:jc w:val="both"/>
      </w:pPr>
      <w:r>
        <w:rPr>
          <w:rFonts w:ascii="David" w:cs="David" w:eastAsia="David" w:hAnsi="David"/>
          <w:sz w:val="24"/>
          <w:szCs w:val="24"/>
          <w:rtl/>
        </w:rPr>
        <w:t xml:space="preserve">בית המשפט הנכבד מתבקש ליתן בדחיפות סעד זמני בעניין השמתו החינוכית וטיפוליו של הקטין ב.ל, ולהורות כי המבקשת תהיה האפוטרופסית היחידה לקטינים, כמפורט להלן. ואלה נימוקי הבקשה:</w:t>
      </w:r>
    </w:p>
    <w:p>
      <w:pPr>
        <w:pStyle w:val="ListParagraph"/>
        <w:numPr>
          <w:ilvl w:val="0"/>
          <w:numId w:val="2"/>
        </w:numPr>
        <w:bidi/>
        <w:spacing w:after="120" w:before="0" w:line="360" w:lineRule="auto"/>
        <w:jc w:val="both"/>
      </w:pPr>
      <w:r>
        <w:rPr>
          <w:rFonts w:ascii="David" w:cs="David" w:eastAsia="David" w:hAnsi="David"/>
          <w:sz w:val="24"/>
          <w:szCs w:val="24"/>
          <w:rtl/>
        </w:rPr>
        <w:t xml:space="preserve">הצדדים, הורי הקטינים, נפרדו ביום 17.5.25 ומנהלים הליך גירושין. מאז הפרידה מתגוררים הקטינים עם המבקשת בלבד, בחיפה, והיא לבדה נושאת בגידולם, בחינוכם ובבריאותם. בתיק שבכותרת ניתן פסק דין למזונות הקטינים.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מתגורר בבאר שבע, כ-209 ק"מ מהקטינים, ואינו מעורב בגידולם: אינו משתתף באסיפות הורים ובטיפולים רפואיים, ואינו משלם מזונות חרף פסק הדין.</w:t>
      </w:r>
    </w:p>
    <w:p>
      <w:pPr>
        <w:pStyle w:val="ListParagraph"/>
        <w:numPr>
          <w:ilvl w:val="0"/>
          <w:numId w:val="2"/>
        </w:numPr>
        <w:bidi/>
        <w:spacing w:after="120" w:before="0" w:line="360" w:lineRule="auto"/>
        <w:jc w:val="both"/>
      </w:pPr>
      <w:r>
        <w:rPr>
          <w:rFonts w:ascii="David" w:cs="David" w:eastAsia="David" w:hAnsi="David"/>
          <w:sz w:val="24"/>
          <w:szCs w:val="24"/>
          <w:rtl/>
        </w:rPr>
        <w:t xml:space="preserve">זה זמן רב אין המשיב מגיע לזמני השהות הקבועים עם הקטינים במרכז הקשר (פל"א) בחיפה. כשצוות המרכז מתקשר אליו, הוא טוען כי בשל קשיים כלכליים אינו יכול להגיע.</w:t>
      </w:r>
    </w:p>
    <w:p>
      <w:pPr>
        <w:pStyle w:val="ListParagraph"/>
        <w:numPr>
          <w:ilvl w:val="0"/>
          <w:numId w:val="2"/>
        </w:numPr>
        <w:bidi/>
        <w:spacing w:after="120" w:before="0" w:line="360" w:lineRule="auto"/>
        <w:jc w:val="both"/>
      </w:pPr>
      <w:r>
        <w:rPr>
          <w:rFonts w:ascii="David" w:cs="David" w:eastAsia="David" w:hAnsi="David"/>
          <w:sz w:val="24"/>
          <w:szCs w:val="24"/>
          <w:rtl/>
        </w:rPr>
        <w:t xml:space="preserve">הקטין ב.ל לומד כיום בגן רגיל. בשל קשיים לימודיים והתפתחותיים, המבקשת מבקשת להעבירו לגן של החינוך המיוחד, ולשם כך עליו לעבור בקרוב ועדת זכאות ואפיון (ועדת השמה). בנוסף, ב.ל זקוק בדחיפות לטיפולים רגשיים, ובחודש הקרוב צפוי לעבור הליך רפואי (נספח ד'). כל אלה מחייבים את הסכמת שני ההורים.</w:t>
      </w:r>
    </w:p>
    <w:p>
      <w:pPr>
        <w:pStyle w:val="ListParagraph"/>
        <w:numPr>
          <w:ilvl w:val="0"/>
          <w:numId w:val="2"/>
        </w:numPr>
        <w:bidi/>
        <w:spacing w:after="120" w:before="0" w:line="360" w:lineRule="auto"/>
        <w:jc w:val="both"/>
      </w:pPr>
      <w:r>
        <w:rPr>
          <w:rFonts w:ascii="David" w:cs="David" w:eastAsia="David" w:hAnsi="David"/>
          <w:sz w:val="24"/>
          <w:szCs w:val="24"/>
          <w:rtl/>
        </w:rPr>
        <w:t xml:space="preserve">ביום 22.10.26 פנתה המבקשת אל המשיב וביקשה את הסכמתו לטיפולים הרגשיים ולהליך הרפואי. המשיב לא השיב, ואינו עונה לשיחות (נספח ג'). בהתנהלות זו, אין כל סיכוי שייתן את הסכמתו להליך בוועדה בזמן.</w:t>
      </w:r>
    </w:p>
    <w:p>
      <w:pPr>
        <w:pStyle w:val="ListParagraph"/>
        <w:numPr>
          <w:ilvl w:val="0"/>
          <w:numId w:val="2"/>
        </w:numPr>
        <w:bidi/>
        <w:spacing w:after="120" w:before="0" w:line="360" w:lineRule="auto"/>
        <w:jc w:val="both"/>
      </w:pPr>
      <w:r>
        <w:rPr>
          <w:rFonts w:ascii="David" w:cs="David" w:eastAsia="David" w:hAnsi="David"/>
          <w:sz w:val="24"/>
          <w:szCs w:val="24"/>
          <w:rtl/>
        </w:rPr>
        <w:t xml:space="preserve">הקשיים הכלכליים שלהם טוען המשיב אינם מסבירים את שתיקתו: מתן הסכמה אינו כרוך בנסיעה או בהוצאה כלשהי, וניתן לתתה בטלפון או בחתימה על מסמך שיישלח אליו. בנסיבות אלה, דרישת ההסכמה של שני ההורים הפכה למכשול הפוגע בקטינים.</w:t>
      </w:r>
    </w:p>
    <w:p>
      <w:pPr>
        <w:pStyle w:val="ListParagraph"/>
        <w:numPr>
          <w:ilvl w:val="0"/>
          <w:numId w:val="2"/>
        </w:numPr>
        <w:bidi/>
        <w:spacing w:after="120" w:before="0" w:line="360" w:lineRule="auto"/>
        <w:jc w:val="both"/>
      </w:pPr>
      <w:r>
        <w:rPr>
          <w:rFonts w:ascii="David" w:cs="David" w:eastAsia="David" w:hAnsi="David"/>
          <w:sz w:val="24"/>
          <w:szCs w:val="24"/>
          <w:rtl/>
        </w:rPr>
        <w:t xml:space="preserve">לפי סעיף 17 לחוק הכשרות המשפטית והאפוטרופסות, התשכ"ב-1962 (להלן: "החוק"), על ההורים לנהוג לטובת הקטין כדרך שהורים מסורים היו נוהגים. לפי סעיף 19 לחוק, מקום שההורים אינם מגיעים להסכמה יכריע בית המשפט, וסעיף 68 לחוק מסמיכו לנקוט אמצעים זמניים או קבועים לשמירת ענייני הקטין. אפוטרופסות היא חובה כלפי הקטין ולא זכות וטו, והורה שאינו ממלא את חובותיו אינו יכול לעכב, בשתיקתו, טיפול שילדו זקוק לו.</w:t>
      </w:r>
    </w:p>
    <w:p>
      <w:pPr>
        <w:pStyle w:val="ListParagraph"/>
        <w:numPr>
          <w:ilvl w:val="0"/>
          <w:numId w:val="2"/>
        </w:numPr>
        <w:bidi/>
        <w:spacing w:after="120" w:before="0" w:line="360" w:lineRule="auto"/>
        <w:jc w:val="both"/>
      </w:pPr>
      <w:r>
        <w:rPr>
          <w:rFonts w:ascii="David" w:cs="David" w:eastAsia="David" w:hAnsi="David"/>
          <w:sz w:val="24"/>
          <w:szCs w:val="24"/>
          <w:rtl/>
        </w:rPr>
        <w:t xml:space="preserve">הסעד המבוקש אינו שלילת אפוטרופסות אלא הסדרת אופן הפעלתה, ולכן הוא מידתי. המבקשת אינה מבקשת לפגוע בקשר בין המשיב לקטינים, ותעדכן אותו בכתב בכל החלטה מהותית.</w:t>
      </w:r>
    </w:p>
    <w:p>
      <w:pPr>
        <w:pStyle w:val="ListParagraph"/>
        <w:numPr>
          <w:ilvl w:val="0"/>
          <w:numId w:val="2"/>
        </w:numPr>
        <w:bidi/>
        <w:spacing w:after="120" w:before="0" w:line="360" w:lineRule="auto"/>
        <w:jc w:val="both"/>
      </w:pPr>
      <w:r>
        <w:rPr>
          <w:rFonts w:ascii="David" w:cs="David" w:eastAsia="David" w:hAnsi="David"/>
          <w:sz w:val="24"/>
          <w:szCs w:val="24"/>
          <w:rtl/>
        </w:rPr>
        <w:t xml:space="preserve">הדחיפות: הוועדה תתכנס בקרוב, ההליך הרפואי צפוי בחודש הקרוב, והטיפולים הרגשיים נדרשים כבר עתה. החמצת הוועדה עלולה להותיר את ב.ל במסגרת שאינה מתאימה לו לתקופה ממושכת. מנגד, הסעד הזמני אינו גורם למשיב כל נזק, ומאזן הנוחות נוטה בבירור למתן הסעד.</w:t>
      </w:r>
    </w:p>
    <w:p>
      <w:pPr>
        <w:pStyle w:val="ListParagraph"/>
        <w:numPr>
          <w:ilvl w:val="0"/>
          <w:numId w:val="2"/>
        </w:numPr>
        <w:bidi/>
        <w:spacing w:after="120" w:before="0" w:line="360" w:lineRule="auto"/>
        <w:jc w:val="both"/>
      </w:pPr>
      <w:r>
        <w:rPr>
          <w:rFonts w:ascii="David" w:cs="David" w:eastAsia="David" w:hAnsi="David"/>
          <w:sz w:val="24"/>
          <w:szCs w:val="24"/>
          <w:rtl/>
        </w:rPr>
        <w:t xml:space="preserve">בית משפט נכבד זה מוסמך לדון בבקשה לפי חוק בית המשפט לענייני משפחה, התשנ"ה-1995, לאור מקום מגורי הקטינים.</w:t>
      </w:r>
    </w:p>
    <w:p>
      <w:pPr>
        <w:keepNext/>
        <w:bidi/>
        <w:spacing w:after="120" w:before="120" w:line="360" w:lineRule="auto"/>
        <w:jc w:val="both"/>
      </w:pPr>
      <w:r>
        <w:rPr>
          <w:rFonts w:ascii="David" w:cs="David" w:eastAsia="David" w:hAnsi="David"/>
          <w:b/>
          <w:bCs/>
          <w:sz w:val="24"/>
          <w:szCs w:val="24"/>
          <w:rtl/>
        </w:rPr>
        <w:t xml:space="preserve">אשר על כן, מתבקש בית המשפט הנכבד:</w:t>
      </w:r>
    </w:p>
    <w:p>
      <w:pPr>
        <w:pStyle w:val="ListParagraph"/>
        <w:numPr>
          <w:ilvl w:val="0"/>
          <w:numId w:val="3"/>
        </w:numPr>
        <w:bidi/>
        <w:spacing w:after="120" w:before="0" w:line="360" w:lineRule="auto"/>
        <w:jc w:val="both"/>
      </w:pPr>
      <w:r>
        <w:rPr>
          <w:rFonts w:ascii="David" w:cs="David" w:eastAsia="David" w:hAnsi="David"/>
          <w:b/>
          <w:bCs/>
          <w:sz w:val="24"/>
          <w:szCs w:val="24"/>
          <w:rtl/>
        </w:rPr>
        <w:t xml:space="preserve">סעד זמני</w:t>
      </w:r>
      <w:r>
        <w:rPr>
          <w:rFonts w:ascii="David" w:cs="David" w:eastAsia="David" w:hAnsi="David"/>
          <w:sz w:val="24"/>
          <w:szCs w:val="24"/>
          <w:rtl/>
        </w:rPr>
        <w:t xml:space="preserve">: להסמיך את המבקשת, עד להכרעה בבקשה, לפעול ולחתום לבדה בכל הנוגע לוועדת הזכאות והאפיון ולהעברת ב.ל לגן של החינוך המיוחד, וכן על הטיפולים הרגשיים וההליך הרפואי.</w:t>
      </w:r>
    </w:p>
    <w:p>
      <w:pPr>
        <w:pStyle w:val="ListParagraph"/>
        <w:numPr>
          <w:ilvl w:val="0"/>
          <w:numId w:val="3"/>
        </w:numPr>
        <w:bidi/>
        <w:spacing w:after="120" w:before="0" w:line="360" w:lineRule="auto"/>
        <w:jc w:val="both"/>
      </w:pPr>
      <w:r>
        <w:rPr>
          <w:rFonts w:ascii="David" w:cs="David" w:eastAsia="David" w:hAnsi="David"/>
          <w:sz w:val="24"/>
          <w:szCs w:val="24"/>
          <w:rtl/>
        </w:rPr>
        <w:t xml:space="preserve">להורות למשיב להגיב לבקשה לסעד זמני בתוך 3 ימים, ובהיעדר תגובה - ליתן את הסעד.</w:t>
      </w:r>
    </w:p>
    <w:p>
      <w:pPr>
        <w:pStyle w:val="ListParagraph"/>
        <w:numPr>
          <w:ilvl w:val="0"/>
          <w:numId w:val="3"/>
        </w:numPr>
        <w:bidi/>
        <w:spacing w:after="120" w:before="0" w:line="360" w:lineRule="auto"/>
        <w:jc w:val="both"/>
      </w:pPr>
      <w:r>
        <w:rPr>
          <w:rFonts w:ascii="David" w:cs="David" w:eastAsia="David" w:hAnsi="David"/>
          <w:sz w:val="24"/>
          <w:szCs w:val="24"/>
          <w:rtl/>
        </w:rPr>
        <w:t xml:space="preserve">להורות כי המבקשת </w:t>
      </w:r>
      <w:r>
        <w:rPr>
          <w:rFonts w:ascii="David" w:cs="David" w:eastAsia="David" w:hAnsi="David"/>
          <w:b/>
          <w:bCs/>
          <w:sz w:val="24"/>
          <w:szCs w:val="24"/>
          <w:rtl/>
        </w:rPr>
        <w:t xml:space="preserve">תהיה האפוטרופסית היחידה לקטינים</w:t>
      </w:r>
      <w:r>
        <w:rPr>
          <w:rFonts w:ascii="David" w:cs="David" w:eastAsia="David" w:hAnsi="David"/>
          <w:sz w:val="24"/>
          <w:szCs w:val="24"/>
          <w:rtl/>
        </w:rPr>
        <w:t xml:space="preserve">, ותהיה מוסמכת לקבל לבדה כל החלטה ולחתום לבדה על כל מסמך בעניינם, בלא צורך בהסכמת המשיב או בחתימתו, מול כל רשות ומוסד, ובלבד שתעדכן את המשיב בכתב בכל החלטה מהותית.</w:t>
      </w:r>
    </w:p>
    <w:p>
      <w:pPr>
        <w:pStyle w:val="ListParagraph"/>
        <w:numPr>
          <w:ilvl w:val="0"/>
          <w:numId w:val="3"/>
        </w:numPr>
        <w:bidi/>
        <w:spacing w:after="120" w:before="0" w:line="360" w:lineRule="auto"/>
        <w:jc w:val="both"/>
      </w:pPr>
      <w:r>
        <w:rPr>
          <w:rFonts w:ascii="David" w:cs="David" w:eastAsia="David" w:hAnsi="David"/>
          <w:b/>
          <w:bCs/>
          <w:sz w:val="24"/>
          <w:szCs w:val="24"/>
          <w:rtl/>
        </w:rPr>
        <w:t xml:space="preserve">לחלופין</w:t>
      </w:r>
      <w:r>
        <w:rPr>
          <w:rFonts w:ascii="David" w:cs="David" w:eastAsia="David" w:hAnsi="David"/>
          <w:sz w:val="24"/>
          <w:szCs w:val="24"/>
          <w:rtl/>
        </w:rPr>
        <w:t xml:space="preserve">, להסמיך את המבקשת לפעול לבדה בענייני חינוך, טיפול רפואי ורגשי, רשויות הרווחה והמוסד לביטוח לאומי, וחשבונות בנק על שם הקטינים.</w:t>
      </w:r>
    </w:p>
    <w:p>
      <w:pPr>
        <w:pStyle w:val="ListParagraph"/>
        <w:numPr>
          <w:ilvl w:val="0"/>
          <w:numId w:val="3"/>
        </w:numPr>
        <w:bidi/>
        <w:spacing w:after="120" w:before="0" w:line="360" w:lineRule="auto"/>
        <w:jc w:val="both"/>
      </w:pPr>
      <w:r>
        <w:rPr>
          <w:rFonts w:ascii="David" w:cs="David" w:eastAsia="David" w:hAnsi="David"/>
          <w:sz w:val="24"/>
          <w:szCs w:val="24"/>
          <w:rtl/>
        </w:rPr>
        <w:t xml:space="preserve">לחייב את המשיב בהוצאות הבקשה, וליתן כל סעד אחר שיימצא לנכון.</w:t>
      </w:r>
    </w:p>
    <w:p>
      <w:pPr>
        <w:bidi/>
        <w:spacing w:after="120" w:before="120" w:line="360" w:lineRule="auto"/>
        <w:jc w:val="both"/>
      </w:pPr>
      <w:r>
        <w:rPr>
          <w:rFonts w:ascii="David" w:cs="David" w:eastAsia="David" w:hAnsi="David"/>
          <w:sz w:val="24"/>
          <w:szCs w:val="24"/>
          <w:rtl/>
        </w:rPr>
        <w:t xml:space="preserve">נספחים: תצהיר המבקשת (א'), ספח ת.ז. (ב'), התכתבויות עם המשיב (ג') ומסמך רפואי (ד').</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______________</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jc w:val="end"/>
            </w:pPr>
            <w:r>
              <w:rPr>
                <w:rFonts w:ascii="David" w:cs="David" w:eastAsia="David" w:hAnsi="David"/>
                <w:sz w:val="24"/>
                <w:szCs w:val="24"/>
                <w:rtl/>
              </w:rPr>
              <w:t xml:space="preserve">_______________________</w:t>
            </w:r>
          </w:p>
          <w:p>
            <w:pPr>
              <w:bidi/>
              <w:spacing w:after="0"/>
              <w:jc w:val="end"/>
            </w:pPr>
            <w:r>
              <w:rPr>
                <w:rFonts w:ascii="David" w:cs="David" w:eastAsia="David" w:hAnsi="David"/>
                <w:sz w:val="24"/>
                <w:szCs w:val="24"/>
                <w:rtl/>
              </w:rPr>
              <w:t xml:space="preserve">סולומון טקה, עו"ד, ב"כ המבקשת</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לאפוטרופסות יחידה וקבועה</dc:title>
  <dc:creator>סולומון טקה, עו"ד</dc:creator>
  <cp:lastModifiedBy>Un-named</cp:lastModifiedBy>
  <cp:revision>1</cp:revision>
  <dcterms:created xsi:type="dcterms:W3CDTF">2026-10-26T07:00:47.550Z</dcterms:created>
  <dcterms:modified xsi:type="dcterms:W3CDTF">2026-10-26T07:00:47.550Z</dcterms:modified>
</cp:coreProperties>
</file>

<file path=docProps/custom.xml><?xml version="1.0" encoding="utf-8"?>
<Properties xmlns="http://schemas.openxmlformats.org/officeDocument/2006/custom-properties" xmlns:vt="http://schemas.openxmlformats.org/officeDocument/2006/docPropsVTypes"/>
</file>