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 תקנות 24 ו-25(ב) לתקנות סדר הדין האזרחי, התשע"ט-2018 מחייבות לכלול בכתב תביעה אחד את כל העילות והסעדים בשל אותה מסכת עובדתית, זולת אם ניתנה רשות לפיצול, ורשות כזו לא נטענה ולא הוצגה; ואף ההחלטה על איחוד הדיון בין ההליכים אין בה משום רשות בדיעבד. דין התביעה להימחק.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עצמה לא צורפה, וכמוה גם ההתראות הנטענות בסעיף 2 לכתב התביעה, בניגוד לתקנה 79(א)(2).</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 הנתבעת גדלה בדירה, נכנסה אליה ברשות אביה, שהתה בה כדי לסעוד אותו בתקופה שקדמה לפטירתו ונותרה בה לאחריה; מי שאלה נסיבות כניסתה אינה "פולשת", ולכל היותר עסקינן בבת-רשות. לחלופין תטען הנתבעת כי היא "דייר ממשיך" כהגדרתו בסעיף 1 לחוק זכויות הדייר בדיור הציבורי, התשנ"ח-1998, וכי מתקיים בה תנאי הוראת המעבר שבגדרה מוסיף לחול עליה נוסחו הקודם של סעיף 3 לחוק - הוא התנאי שהתובעת עצמה הציבה בראש טבלת ביקורי המעגל שבנספח 4: "ביקורי מעגל לדייר הממשיך מתאריך 1.8.09 ועד מועד הבקשה ולא פחות מ-4 שנות מגורים רצופות". מכל מקום, שאלת מגוריה לא נבדקה מעולם ומקומה להתברר בראיות.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שאינו זכאי עצמאית לפולש, אלא מחייבו לפנות את הדירה "בתוך תשעה חודשים מהמועד שבו נמסרה לו הודעה מאת משרד הבינוי והשיכון, בדבר אי-זכאותו לדירה ציבורית לפי הכללים". הודעה כזו לא נמסרה ואיננה בין נספחי כתב התביעה; כל עוד לא נמסרה, ובמשך תשעה חודשים לאחריה, החזקת הנתבעת כדין ולא קמה עילה לדמי שימוש ראויים.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 והתובעת אף גבתה תשלומים בפועל. אף לא נמסרה הודעה בכתב על סיום השכירות, כנדרש בסעיף 2 לחוזה, ולא נטענה.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 והסכום לא הוכח.</w:t>
      </w:r>
      <w:r>
        <w:rPr>
          <w:rFonts w:ascii="David" w:cs="David" w:eastAsia="David" w:hAnsi="David"/>
          <w:b w:val="false"/>
          <w:bCs w:val="false"/>
          <w:i w:val="false"/>
          <w:iCs w:val="false"/>
          <w:sz w:val="24"/>
          <w:szCs w:val="24"/>
          <w:rtl/>
        </w:rPr>
        <w:t xml:space="preserve"> ההחלטה ניתנה ללא הנמקה, ללא שימוע וללא המצאה, על יסוד תשתית הסותרת את עצמה, ומבלי שנבחנה זכאותה העצמאית של הנתבעת; הנתבעת תוקפת אותה בתקיפה עקיפה. אשר לסכום, לא הוצגה חוות דעת, והחיוב החודשי שגזרה התובעת לעצמה גבוה פי שלושה עשר משכר הדירה נטו שהיא עצמה קבעה.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 לחלופין, ולנוכח היות הנתבעת נכה בשיעור 100% שאינה עובדת, מוכרת ברווחה וסמוכה על קצבת המוסד לביטוח לאומי, מתבקש פטור מהשבה לפי סעיף 2 לחוק עשיית עושר ולא במשפט, התשל"ט-1979, או העמדת החיוב על דמי השכירות המסובסדים בניכוי התשלומים ששולמו.</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ומועד האכלוס הרשום בכל טופסי התובעת הוא 8.8.1996. המנוח, יליד 1943, עלה לישראל מאתיופיה בשנת 1991 ונפטר ביום 16.2.2024. תעודת הפטירה, שהתובעת עצמה צירפה כנספח 3, נשלחה ביום 10.3.2024 מלשכת רשות האוכלוסין בפתח תקווה אל הנתבעת, בכתובת הדירה.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"עדן" הוא שמה העברי של הנתבעת, והביקור נערך עמה בדירה. בהתאם לכך אף סומן בטבלה שבנספח 4, בשורת אותו ביקור, כי דייר ממשיך מתגורר בדירה. 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23.7.2024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כחמישה חודשים לאחר פטירתו, והסכום שולם (נספח א'). ואולם ביום 17.9.2024, לאחר החלטת הוועדה, הוציאה שובר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שהדירה חויבה פעמיים (נספח ב'). ביום 27.3.2025 שילמה הנתבעת 2,911.01 ₪ נוספים על פי שובר שהתובעת שלחה אליה (נספח ג'). אף לפי הכרטסת, מספר חודשי אי-התשלום הוא 12 מתוך למעלה מעשרים וארבעה.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bCs/>
          <w:i w:val="false"/>
          <w:iCs w:val="false"/>
          <w:sz w:val="24"/>
          <w:szCs w:val="24"/>
          <w:rtl/>
        </w:rPr>
        <w:t xml:space="preserve">פגמי הטופס.</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ריק; הפרק "החלטת הוועדה המחוזית" נושא שתי שורות בכתב יד שאינן קריאות בעותק שהומצא ואין בהן דיון בתנאי החוק; השדה "מצ"ב החלטת ועדה מיום ___" ריק והמסמך שאליו הוא מפנה לא הוצג; והרובריקה שיועדה לסגן מנהל מרכז השירות, שבה אמורים היו להירשם אישורי משרד הבינוי והשיכון והממצאים, נותרה ריקה בכל שורותיה, בלא שם ובלא חתימה - ובכללה השדות "חסר דירה" ו"מומש סיוע בשכ"ד", שבהם נבחנת זכאותה העצמאית של הנתבעת לדירה ציבורית לפי הכללים, היא החלופה שבסעיף 3(ב) לחוק, אשר בהתקיימה רואים את הדייר הממשיך כמי שבא בנעלי הזכאי לכל דבר ועניין. משכך, הקביעה שבסעיף 19 לכתב התביעה, ולפיה לא עמדה הנתבעת בתבחינים, אינה קביעה אלא הנחה. חובת ההנמקה קבועה בסעיף 2 לחוק לתיקון סדרי המינהל (החלטות והנמקות), התשי"ט-1958; ומכל מקום, ועדה פנימית של התובעת אינה משרד הבינוי והשיכון.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bCs/>
          <w:i w:val="false"/>
          <w:iCs w:val="false"/>
          <w:sz w:val="24"/>
          <w:szCs w:val="24"/>
          <w:rtl/>
        </w:rPr>
        <w:t xml:space="preserve">התשתית שעליה נשענת ההחלטה סותרת את עצמה.</w:t>
      </w:r>
      <w:r>
        <w:rPr>
          <w:rFonts w:ascii="David" w:cs="David" w:eastAsia="David" w:hAnsi="David"/>
          <w:b w:val="false"/>
          <w:bCs w:val="false"/>
          <w:i w:val="false"/>
          <w:iCs w:val="false"/>
          <w:sz w:val="24"/>
          <w:szCs w:val="24"/>
          <w:rtl/>
        </w:rPr>
        <w:t xml:space="preserve"> מסקנת הטופס נסמכת כולה על טבלת ביקורי המעגל שערכה התובעת לעצמה (עמ' 42), וזו אינה יכולה לשאתה. ביחס לביקור מיום 3.7.2024 נרשם כי הדייר החוזי "גר: כן", ארבעה חודשים וחצי לאחר פטירתו. ולגבי הביקור מיום 18.12.2023, האחרון בחיי המנוח, נרשם בטבלה אצל הדייר הממשיך "לא" - בעוד שדוח הביקור לאותו מועד ממש (עמ' 37) קובע: </w:t>
      </w:r>
      <w:r>
        <w:rPr>
          <w:rFonts w:ascii="David" w:cs="David" w:eastAsia="David" w:hAnsi="David"/>
          <w:b/>
          <w:bCs/>
          <w:i w:val="false"/>
          <w:iCs w:val="false"/>
          <w:sz w:val="24"/>
          <w:szCs w:val="24"/>
          <w:rtl/>
        </w:rPr>
        <w:t xml:space="preserve">"נקבע מספר פעמים ביקור בית, הדייר אומר אני אהיה בבית, לא נצא"</w:t>
      </w:r>
      <w:r>
        <w:rPr>
          <w:rFonts w:ascii="David" w:cs="David" w:eastAsia="David" w:hAnsi="David"/>
          <w:b w:val="false"/>
          <w:bCs w:val="false"/>
          <w:i w:val="false"/>
          <w:iCs w:val="false"/>
          <w:sz w:val="24"/>
          <w:szCs w:val="24"/>
          <w:rtl/>
        </w:rPr>
        <w:t xml:space="preserve"> [כך במקור]. ואף על פי כן נושא אותו דוח דירוגי מצב מפורטים לכל חדרי הדירה, שלושה סימוני אישור ובהם "אני מאשר בחתימתי את כל הנתונים שבסיכום זה לאחר שקראתי אותו והבנתי אותו", וחותמת </w:t>
      </w:r>
      <w:r>
        <w:rPr>
          <w:rFonts w:ascii="David" w:cs="David" w:eastAsia="David" w:hAnsi="David"/>
          <w:b/>
          <w:bCs/>
          <w:i w:val="false"/>
          <w:iCs w:val="false"/>
          <w:sz w:val="24"/>
          <w:szCs w:val="24"/>
          <w:rtl/>
        </w:rPr>
        <w:t xml:space="preserve">"מסרב לחתום"</w:t>
      </w:r>
      <w:r>
        <w:rPr>
          <w:rFonts w:ascii="David" w:cs="David" w:eastAsia="David" w:hAnsi="David"/>
          <w:b w:val="false"/>
          <w:bCs w:val="false"/>
          <w:i w:val="false"/>
          <w:iCs w:val="false"/>
          <w:sz w:val="24"/>
          <w:szCs w:val="24"/>
          <w:rtl/>
        </w:rPr>
        <w:t xml:space="preserve">. קרי, קביעה פוזיטיבית, ובדיקה פנימית של הדירה כולה, על יסוד ביקור שלא נערך. והמוקדם שברישומי הטבלה הוא מיום 11.8.2010, כך שביחס ליום 1.8.2009, נקודת המוצא של אמת המידה, אין בה דבר.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bCs/>
          <w:i w:val="false"/>
          <w:iCs w:val="false"/>
          <w:sz w:val="24"/>
          <w:szCs w:val="24"/>
          <w:rtl/>
        </w:rPr>
        <w:t xml:space="preserve">תצהיר המנוח מיום 10.11.2021.</w:t>
      </w:r>
      <w:r>
        <w:rPr>
          <w:rFonts w:ascii="David" w:cs="David" w:eastAsia="David" w:hAnsi="David"/>
          <w:b w:val="false"/>
          <w:bCs w:val="false"/>
          <w:i w:val="false"/>
          <w:iCs w:val="false"/>
          <w:sz w:val="24"/>
          <w:szCs w:val="24"/>
          <w:rtl/>
        </w:rPr>
        <w:t xml:space="preserve"> הנטען בסעיף 16 לכתב התביעה נסמך על טופס מודפס (עמ' 35), שעליו החתימה התובעת את המנוח בביקור מטעמה. המנוח, יליד 1943, עלה מאתיופיה בשנת 1991 והיה אז כבן שבעים ושמונה; הוא דובר אמהרית, לא ידע קרוא וכתוב ולא שלט בעברית. מי שהחתימה אותו היא גב' נטלי לוגסי, מנהלת תיק הלקוח מטעם התובעת, שאינה דוברת אמהרית; ובדוח הביקור שערכה (עמ' 33) נרשם "ביקור בוצע ב 10/11/21", הוא יום החתימה. ואשר לפרק "אישור חתימה" שבתחתית הטופס, נוסחו המודפס מציע שתי חלופות, "לאחר שקרא/ה אותה" ו"הקראתי לו/ה", ואיש לא סימן איזו מהן התקיימה; אין בטופס זכר למתורגמן, ואין בו כל אינדיקציה שתוכנו הובא לידיעת המנוח בשפה שהבין. גוף הטופס כולו מודפס מראש, והמנוח לא הוסיף בו דבר מלבד חתימתו והתאריך. מסמך שהוחתם כך על אדם שאינו יודע קרוא וכתוב, מבלי שהוכח כי הוסבר לו בשפתו, אין ליתן בו משקל; הנתבעת שומרת על זכותה להתנגד להגשתו ולעתור להוצאתו מן התיק. וסעיף 3 לטופס מגלה את תכליתו: כי ההצהרה "לא תאפשר לקרובי לטעון כי גרו איתי בדירה, לרבות לצורך הוכחת משך מגורים בדירה כדי להיחשב 'דיירים ממשיכים'". ברם, המעמד שבחוק זכויות הדייר בדיור הציבורי קם לנתבעת מכוח דין, והיא לא היתה צד לאותו טופס. זכות סטטוטורית של מי שאינו חתום על הטופס אינה ניתנת לוויתור בידי החותם, ולו מטעמי תקנת הציבור שבסעיף 30 לחוק החוזים (חלק כללי), התשל"ג-1973. ומכל מקום עסקינן בטופס אחד ממועד אחד, שאין בו כדי ללמד על התקופה שקדמה לו או על זו שלאחריה.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בחודש יולי 2026 פנתה המחלקה לשירותים חברתיים "ירקון" שבעיריית פתח תקווה במכתב שעניינו הנתבעת (נספח ה'), המוכרת באותה מחלקה כנתמכת (נספח ו'). נמסר בו כי הנתבעת "היתה מוכרת ברווחה לאורך שנים", וכי היא "בת 42 רווקה ללא ילדים מתמודדת עם נכות נפשית ופיברומיאלגיה, אינה עובדת ומקבלת קיצבה 100% נכות מביטוח לאומי" (נספח ז'); ובסיפתו: </w:t>
      </w:r>
      <w:r>
        <w:rPr>
          <w:rFonts w:ascii="David" w:cs="David" w:eastAsia="David" w:hAnsi="David"/>
          <w:b/>
          <w:bCs/>
          <w:i w:val="false"/>
          <w:iCs w:val="false"/>
          <w:sz w:val="24"/>
          <w:szCs w:val="24"/>
          <w:rtl/>
        </w:rPr>
        <w:t xml:space="preserve">"נודה על כל התחשבות במצבה והימנעות מהוצאתה מהדירה בה מתגוררת מזה 30 שנה"</w:t>
      </w:r>
      <w:r>
        <w:rPr>
          <w:rFonts w:ascii="David" w:cs="David" w:eastAsia="David" w:hAnsi="David"/>
          <w:b w:val="false"/>
          <w:bCs w:val="false"/>
          <w:i w:val="false"/>
          <w:iCs w:val="false"/>
          <w:sz w:val="24"/>
          <w:szCs w:val="24"/>
          <w:rtl/>
        </w:rPr>
        <w:t xml:space="preserve">. וכבר בשנת 2013 פנתה הנתבעת בכתב אל משרד הבינוי והשיכון בבקשה לפתרון דיור, ותיארה כי אין לה קורת גג משלה וכי היא מתגוררת בשכירות; הפנייה נמסרה באמצעות מרכז אלונים, גורם רווחה ושיקום, ואושרה בחותמתו ביום 28.6.2013 (נספח ד'). לחומר זה משקל ישיר לעניין הזכאות העצמאית לפי סעיף 3(ב) ולעניין ההשבה; ואולם התובעת החליטה בלא שפנתה לגורמי הרווחה, בנספח 4 אין לו כל התייחסות, ועניינה של הנתבעת לא הובא בפני הוועדה לבחינת מקרים חריגים.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היא עצמה קבעה באותה תקופה כי שכר הדירה נטו הוא 221.19 ₪. לא הוצגה חוות דעת לשווי, והכרטסת אינה ראיה אלא רישום פנימי; ואת הריבית גובה התובעת מכוח חוזה השכירות, שאת קיומו היא מכחישה.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8, 13, 14 ו-17 אינו מוכחש ככל שהוא נוגע לזהות הצדדים והדירה, לסמכות, להשכרת הדירה למנוח ולמועד פטירתו; ומוכחשת כל מסקנה משפטית הנגזרת מהם. הנטען בסעיפים 2, 9, 10, 15 ו-16 מוכחש: הנתבעת לא פלשה ואינה מחזיקה שלא כדין, ולא נשלחו אליה התראות. הנטען בסעיפים 3, 4, 11, 18, 19, 21, 22 ו-23 מוכחש מן הטעמים המפורטים לעיל; אין הכחשה לעצם קיומו של המסמך שבנספח 4, ומוכחש כי מדובר בהחלטה שנתקבלה כדין. סעיפים 12 ו-20 אינם טענות שבעובדה הטעונות הכחשה, ואשר לסעיף 20 יוער כי הדיור הציבורי אכן נועד למי שידה אינה משגת, ותכלית זו מכוונת אל הנתבעת.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 לחלופין, למוחקה מחמת פיצול סעדים; לחלופין, לקבוע כי לא קמה עילה לדמי שימוש ראויים כל עוד לא נמסרה הודעה לפי סעיף 3(א) ולא חלפו תשעה חודשים ממסירתה; ולחלופי חלופין, להעמיד את החיוב על דמי השכירות המסובסדים בניכוי התשלומים ששולמו. 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2013; ה' מכתב המחלקה לשירותים חברתיים, יולי 2026; ו' אישור הכרה כנתמכת; ז' אישור המוסד לביטוח לאומי; ח' בקשת ההכרה כדיירת ממשיכה; ט'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נגד טדילה וונדימאג'ן | תצהיר לפי טופס 5 שבתוספת הראשונה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בתובענה שבכותרת, לפי תקנה 79(א)(1) לתקנות. העובדות שבכתב ההגנה, להבדיל מן הטענות המשפטיות ומן המסקנות שבו, נכונות וידועות לי מידיעתי האישית; והעובדות הנוגעות למסמכי התובעת ידועות לי מתוך המסמכים עצמם.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iCs/>
          <w:sz w:val="24"/>
          <w:szCs w:val="24"/>
          <w:highlight w:val="yellow"/>
          <w:highlightCs w:val="yellow"/>
          <w:rtl/>
        </w:rPr>
        <w:t xml:space="preserve">[להשלמה - תיאור תקופת מגוריי בדירה, בהתאם לגרסה העובדתית שתיקבע. אין לחתום על התצהיר לפני שסעיף זה הושלם.]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אבי המנוח, מר מנבר וונדימאג'ן ז"ל, ת.ז. 303214381, יליד 1943, עלה לישראל מאתיופיה בשנת 1991. הוא היה דובר אמהרית, לא ידע קרוא וכתוב ולא שלט בשפה העברית.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ערכה נציגת התובעת ביקור בדירה, ואני היא הבת שנכחה בו. "עדן" הוא שמי העברי.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אני נכה בשיעור 100% ואיני עובדת; אני מוכרת במחלקה לשירותים חברתיים בעיריית פתח תקווה וסמוכה על קצבת המוסד לביטוח לאומי.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זומנתי לשימוע או לדיון בפני ועדה בעניין מעמדי, לא הומצאה לי החלטה, ולא נמסרה לי הודעה מאת משרד הבינוי והשיכון בדבר אי-זכאותי לדירה ציבורית.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הנספחים א' עד ט' לכתב ההגנה. אין בידי תכתובת בכתב מול התובעת, שכן פניותיי אליה נעשו בעל פה במשרדיה.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ת.ז. 303214373, ולאחר שהזהרתיה כי עליה לומר את האמת וכי תהיה צפויה לעונשים הקבועים בחוק אם לא תעשה כן, אישרה את נכונות הצהרתה וחתמה עליה בפניי.</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סתירה עובדתית בין שני כתבי ההגנה - לטיפול לפני החתימה.</w:t>
      </w:r>
      <w:r>
        <w:rPr>
          <w:rFonts w:ascii="David" w:cs="David" w:eastAsia="David" w:hAnsi="David"/>
          <w:b w:val="false"/>
          <w:bCs w:val="false"/>
          <w:i w:val="false"/>
          <w:iCs w:val="false"/>
          <w:sz w:val="24"/>
          <w:szCs w:val="24"/>
          <w:rtl/>
        </w:rPr>
        <w:t xml:space="preserve"> כתב ההגנה בתביעת סילוק היד מוסר כי הנתבעת החזיקה דירה שכורה בסמוך לדירת האב, כי היתה קשורה בחוזה שכירות עד יולי 2024, וכי עזבה את הדירה השכורה בסמוך לדצמבר 2023 ועברה לסעוד את אביה. הנתונים שנמסרו לצורך כתב הגנה זה היו כי הנתבעת התגוררה בדירה ביום 1.8.2009 וברציפות למעלה מארבע שנים עד הפטירה. שתי הגרסאות אינן יכולות לדור בכפיפה אחת, והדיונים אוחדו. יש להכריע בגרסה העובדתית ולתקן את שני כתבי ההגנה ואת התצהירים לפיה. סעיף 3 לכתב הגנה זה נוסח בינתיים כך שהטענה העיקרית - שהנתבעת אינה פולשת אלא נכנסה ברשות ולכל היותר בת-רשות - עומדת בכל מקרה, וטענת הדייר הממשיך והוראת המעבר נטענת לחלופין. בתצהיר נותר סעיף חסר, המסומן להשלמה, לתיאור תקופת המגורים; אין לחתום על התצהיר לפני שהושלם בהתאם לגרסה שתיקבע.</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לצרף ולאמת מול המקור את הציטוטים ממכתב המחלקה לשירותים חברתיים מיולי 2026 (נספח ה'), ולהשלים את שם עובד הרווחה, תפקידו ותאריך המכתב המדויק. כן לצרף את אישור ההכרה כנתמכת (נספח ו') ואת אישור המוסד לביטוח לאומי בדבר נכות בשיעור 100% (נספח ז').</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המסמך המרכזי של התובעת הוא התצהיר המודפס מיום 10.11.2021 (עמ' 35 לכתב התביעה). לחיזוק הטענה נגדו נדרש: ראיה לכך שהמנוח לא ידע קרוא וכתוב ולא שלט בעברית (מסמכי עלייה וקליטה, רישומי אולפן, מסמכים רפואיים או סיעודיים, תצהירי בני משפחה ושכנים); ביסוס לטענה שגב' נטלי לוגסי אינה דוברת אמהרית, שאפשר להוכיחה גם בחקירתה; ושקילת בקשה נפרדת להוצאת המסמך מן התיק או להתנגדות להגשתו בפתח שמיעת הראיות.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ראיות תומכות בתקופת המגורים, לאיסוף ולצירוף: מרשם האוכלוסין ותמצית רישום, חשבונות ודברי דואר שנשלחו לכתובת הדירה, מסמכים רפואיים מתקופת מחלת האב, ותצהירי שכנים מאותו בניין המכירים את הנתבעת ואת המנוח שנים רבות.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הנתבעת משנת 2013 (נספח ד'): כתב היד אינו קריא במלואו, והתיאור שבו נוגע גם לבני משפחה נוספים. יש לקרוא אותו עם הלקוחה ולוודא שהתיאור שבכתב ההגנה תואם את תוכנו במדויק, ובפרט שאינו סותר את האמור במכתב הרווחה מיולי 2026.</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זכאותה העצמאית של הנתבעת לדירה ציבורית לפי כללי משרד הבינוי והשיכון טרם נבדקה. יש לבדקה מול המשרד, ובהתאם לתוצאה לחזק את הטענה החלופית לפי סעיף 3(ב) לחוק.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לאמת לפני ההגשה את נוסחם המדויק של סעיף 3 לחוק ושל הוראת המעבר בחוק ההתייעלות הכלכלית (תיקוני חקיקה ליישום התכנית הכלכלית לשנים 2009 ו-2010), התשס"ט-2009, וכן את סימון סעיף הקטן שבסעיף 2 לחוזה השכירות שעניינו הודעה בכתב שישים יום מראש.</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המועד האחרון להגשה נרשם לפי הנתון שנמסר, 4.9.2026. יש לאמת את החישוב מול תקנה 80(א) (45 ימים מן ההמצאה ביום 21.6.2026) ומול תקנה 179(ב) בעניין פגרת בתי המשפט.</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ט') ובקשת ההכרה כדיירת ממשיכה (נספח ח'). אם הבקשה אינה מצויה בידי הנתבעת, יש לפרט בתצהיר את הנסיבות (תקנה 79(א)(2) סיפא).</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הוחלט שלא להגיש תביעה שכנגד להשבת הכספים שנגבו. השבתם נתבעת בדרך של קיזוז וניכוי בסעיף הסעד. אם תשוב הלקוחה בה מהחלטתה, תביעה שכנגד מוגשת יחד עם כתב ההגנה (תקנות 21(א) ו-80(ח)), ולאחר מכן תידרש רשות.</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2026-09-02T11:23:35.890Z</dcterms:created>
  <dcterms:modified xsi:type="dcterms:W3CDTF">2026-09-02T11:23:35.891Z</dcterms:modified>
</cp:coreProperties>
</file>

<file path=docProps/custom.xml><?xml version="1.0" encoding="utf-8"?>
<Properties xmlns="http://schemas.openxmlformats.org/officeDocument/2006/custom-properties" xmlns:vt="http://schemas.openxmlformats.org/officeDocument/2006/docPropsVTypes"/>
</file>