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6"/>
                <w:szCs w:val="26"/>
                <w:rtl/>
              </w:rPr>
              <w:t xml:space="preserve">בבית הדין האזורי לעבודה</w:t>
            </w:r>
          </w:p>
          <w:p>
            <w:pPr>
              <w:bidi/>
              <w:spacing w:after="0" w:before="0" w:line="276" w:lineRule="auto"/>
              <w:jc w:val="start"/>
            </w:pPr>
            <w:r>
              <w:rPr>
                <w:rFonts w:ascii="David" w:cs="David" w:eastAsia="David" w:hAnsi="David"/>
                <w:b/>
                <w:bCs/>
                <w:sz w:val="26"/>
                <w:szCs w:val="26"/>
                <w:rtl/>
              </w:rPr>
              <w:t xml:space="preserve">בחיפה</w:t>
            </w:r>
          </w:p>
        </w:tc>
        <w:tc>
          <w:tcPr>
            <w:tcW w:type="dxa" w:w="4706"/>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end"/>
            </w:pPr>
            <w:r>
              <w:rPr>
                <w:rFonts w:ascii="David" w:cs="David" w:eastAsia="David" w:hAnsi="David"/>
                <w:b/>
                <w:bCs/>
                <w:sz w:val="23"/>
                <w:szCs w:val="23"/>
                <w:rtl/>
              </w:rPr>
              <w:t xml:space="preserve">ס"ע ________________</w:t>
            </w:r>
          </w:p>
          <w:p>
            <w:pPr>
              <w:bidi/>
              <w:spacing w:after="0" w:before="0" w:line="276" w:lineRule="auto"/>
              <w:jc w:val="end"/>
            </w:pPr>
            <w:r>
              <w:rPr>
                <w:rFonts w:ascii="David" w:cs="David" w:eastAsia="David" w:hAnsi="David"/>
                <w:sz w:val="23"/>
                <w:szCs w:val="23"/>
                <w:rtl/>
              </w:rPr>
              <w:t xml:space="preserve">תאריך: 10.09.2026</w:t>
            </w:r>
          </w:p>
        </w:tc>
      </w:tr>
    </w:tbl>
    <w:p>
      <w:pPr>
        <w:bidi/>
        <w:spacing w:after="60" w:before="0" w:line="276" w:lineRule="auto"/>
        <w:jc w:val="both"/>
      </w:pPr>
      <w:r>
        <w:rPr>
          <w:rFonts w:ascii="David" w:cs="David" w:eastAsia="David" w:hAnsi="David"/>
          <w:sz w:val="23"/>
          <w:szCs w:val="23"/>
          <w:rtl/>
        </w:rPr>
        <w:t xml:space="preserve"/>
      </w:r>
    </w:p>
    <w:tbl>
      <w:tblPr>
        <w:bidiVisual/>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7912"/>
      </w:tblGrid>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התובע:</w:t>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עומר אלמו (בתלושי השכר: "אלמטה עומר"), ת"ז 329502223</w:t>
            </w:r>
          </w:p>
          <w:p>
            <w:pPr>
              <w:bidi/>
              <w:spacing w:after="0" w:before="0" w:line="276" w:lineRule="auto"/>
              <w:jc w:val="start"/>
            </w:pPr>
            <w:r>
              <w:rPr>
                <w:rFonts w:ascii="David" w:cs="David" w:eastAsia="David" w:hAnsi="David"/>
                <w:sz w:val="23"/>
                <w:szCs w:val="23"/>
                <w:rtl/>
              </w:rPr>
              <w:t xml:space="preserve">מרחוב האגמון 8, חדרה 3836822</w:t>
            </w:r>
          </w:p>
          <w:p>
            <w:pPr>
              <w:bidi/>
              <w:spacing w:after="0" w:before="0" w:line="276" w:lineRule="auto"/>
              <w:jc w:val="start"/>
            </w:pPr>
            <w:r>
              <w:rPr>
                <w:rFonts w:ascii="David" w:cs="David" w:eastAsia="David" w:hAnsi="David"/>
                <w:sz w:val="23"/>
                <w:szCs w:val="23"/>
                <w:rtl/>
              </w:rPr>
              <w:t xml:space="preserve">ע"י ב"כ עו"ד סולומון טקה, רישיון מס' 4545</w:t>
            </w:r>
          </w:p>
          <w:p>
            <w:pPr>
              <w:bidi/>
              <w:spacing w:after="0" w:before="0" w:line="276" w:lineRule="auto"/>
              <w:jc w:val="start"/>
            </w:pPr>
            <w:r>
              <w:rPr>
                <w:rFonts w:ascii="David" w:cs="David" w:eastAsia="David" w:hAnsi="David"/>
                <w:sz w:val="23"/>
                <w:szCs w:val="23"/>
                <w:rtl/>
              </w:rPr>
              <w:t xml:space="preserve">מרחוב פינסקר 21, נתניה; טל': 052-3700918</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both"/>
            </w:pPr>
            <w:r>
              <w:rPr>
                <w:rFonts w:ascii="David" w:cs="David" w:eastAsia="David" w:hAnsi="David"/>
                <w:sz w:val="23"/>
                <w:szCs w:val="23"/>
                <w:rtl/>
              </w:rPr>
              <w:t xml:space="preserve"/>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80" w:before="80" w:line="276" w:lineRule="auto"/>
              <w:jc w:val="start"/>
            </w:pPr>
            <w:r>
              <w:rPr>
                <w:rFonts w:ascii="David" w:cs="David" w:eastAsia="David" w:hAnsi="David"/>
                <w:b/>
                <w:bCs/>
                <w:sz w:val="23"/>
                <w:szCs w:val="23"/>
                <w:rtl/>
              </w:rPr>
              <w:t xml:space="preserve">- נגד -</w:t>
            </w:r>
          </w:p>
        </w:tc>
      </w:tr>
      <w:t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הנתבעת:</w:t>
            </w:r>
          </w:p>
        </w:tc>
        <w:tc>
          <w:tcPr>
            <w:tcW w:type="dxa" w:w="7912"/>
            <w:tcBorders>
              <w:top w:val="none" w:color="FFFFFF" w:sz="0"/>
              <w:left w:val="none" w:color="FFFFFF" w:sz="0"/>
              <w:bottom w:val="none" w:color="FFFFFF" w:sz="0"/>
              <w:right w:val="none" w:color="FFFFFF" w:sz="0"/>
            </w:tcBorders>
            <w:tcMar>
              <w:top w:type="dxa" w:w="40"/>
              <w:left w:type="dxa" w:w="60"/>
              <w:bottom w:type="dxa" w:w="40"/>
              <w:right w:type="dxa" w:w="60"/>
            </w:tcMar>
          </w:tcPr>
          <w:p>
            <w:pPr>
              <w:bidi/>
              <w:spacing w:after="0" w:before="0" w:line="276" w:lineRule="auto"/>
              <w:jc w:val="start"/>
            </w:pPr>
            <w:r>
              <w:rPr>
                <w:rFonts w:ascii="David" w:cs="David" w:eastAsia="David" w:hAnsi="David"/>
                <w:b/>
                <w:bCs/>
                <w:sz w:val="23"/>
                <w:szCs w:val="23"/>
                <w:rtl/>
              </w:rPr>
              <w:t xml:space="preserve">ד.ע משי ארועים בעמק בע"מ, ח.פ. 516510633</w:t>
            </w:r>
          </w:p>
          <w:p>
            <w:pPr>
              <w:bidi/>
              <w:spacing w:after="0" w:before="0" w:line="276" w:lineRule="auto"/>
              <w:jc w:val="start"/>
            </w:pPr>
            <w:r>
              <w:rPr>
                <w:rFonts w:ascii="David" w:cs="David" w:eastAsia="David" w:hAnsi="David"/>
                <w:sz w:val="23"/>
                <w:szCs w:val="23"/>
                <w:rtl/>
              </w:rPr>
              <w:t xml:space="preserve">מאזור תעשייה עמק חפר, עפולה</w:t>
            </w:r>
          </w:p>
        </w:tc>
      </w:tr>
    </w:tbl>
    <w:p>
      <w:pPr>
        <w:bidi/>
        <w:spacing w:after="40" w:before="0" w:line="276" w:lineRule="auto"/>
        <w:jc w:val="both"/>
      </w:pPr>
      <w:r>
        <w:rPr>
          <w:rFonts w:ascii="David" w:cs="David" w:eastAsia="David" w:hAnsi="David"/>
          <w:sz w:val="23"/>
          <w:szCs w:val="23"/>
          <w:rtl/>
        </w:rPr>
        <w:t xml:space="preserve"/>
      </w:r>
    </w:p>
    <w:p>
      <w:pPr>
        <w:bidi/>
        <w:spacing w:after="40" w:before="0" w:line="276" w:lineRule="auto"/>
        <w:jc w:val="both"/>
      </w:pPr>
      <w:r>
        <w:rPr>
          <w:rFonts w:ascii="David" w:cs="David" w:eastAsia="David" w:hAnsi="David"/>
          <w:b/>
          <w:bCs/>
          <w:sz w:val="23"/>
          <w:szCs w:val="23"/>
          <w:rtl/>
        </w:rPr>
        <w:t xml:space="preserve">מהות התביעה: </w:t>
      </w:r>
      <w:r>
        <w:rPr>
          <w:rFonts w:ascii="David" w:cs="David" w:eastAsia="David" w:hAnsi="David"/>
          <w:sz w:val="23"/>
          <w:szCs w:val="23"/>
          <w:rtl/>
        </w:rPr>
        <w:t xml:space="preserve">פיצויי פיטורים, גמול שעות נוספות, פדיון חופשה, דמי חגים ופיצוי לדוגמה (עובד קטין).</w:t>
      </w:r>
    </w:p>
    <w:p>
      <w:pPr>
        <w:bidi/>
        <w:spacing w:after="40" w:before="0" w:line="276" w:lineRule="auto"/>
        <w:jc w:val="both"/>
      </w:pPr>
      <w:r>
        <w:rPr>
          <w:rFonts w:ascii="David" w:cs="David" w:eastAsia="David" w:hAnsi="David"/>
          <w:b/>
          <w:bCs/>
          <w:sz w:val="23"/>
          <w:szCs w:val="23"/>
          <w:rtl/>
        </w:rPr>
        <w:t xml:space="preserve">סכום התביעה: </w:t>
      </w:r>
      <w:r>
        <w:rPr>
          <w:rFonts w:ascii="David" w:cs="David" w:eastAsia="David" w:hAnsi="David"/>
          <w:sz w:val="23"/>
          <w:szCs w:val="23"/>
          <w:rtl/>
        </w:rPr>
        <w:t xml:space="preserve">63,120 ₪.</w:t>
      </w:r>
    </w:p>
    <w:p>
      <w:pPr>
        <w:bidi/>
        <w:spacing w:after="40" w:before="0" w:line="276" w:lineRule="auto"/>
        <w:jc w:val="both"/>
      </w:pPr>
      <w:r>
        <w:rPr>
          <w:rFonts w:ascii="David" w:cs="David" w:eastAsia="David" w:hAnsi="David"/>
          <w:b/>
          <w:bCs/>
          <w:sz w:val="23"/>
          <w:szCs w:val="23"/>
          <w:rtl/>
        </w:rPr>
        <w:t xml:space="preserve">אגרה: </w:t>
      </w:r>
      <w:r>
        <w:rPr>
          <w:rFonts w:ascii="David" w:cs="David" w:eastAsia="David" w:hAnsi="David"/>
          <w:sz w:val="23"/>
          <w:szCs w:val="23"/>
          <w:rtl/>
        </w:rPr>
        <w:t xml:space="preserve">בהתאם לתקנות בית הדין לעבודה (אגרות), התשס"ח-2008, לפי התוספת.</w:t>
      </w:r>
    </w:p>
    <w:p>
      <w:pPr>
        <w:bidi/>
        <w:spacing w:after="160" w:before="120" w:line="276" w:lineRule="auto"/>
        <w:jc w:val="center"/>
      </w:pPr>
      <w:r>
        <w:rPr>
          <w:rFonts w:ascii="David" w:cs="David" w:eastAsia="David" w:hAnsi="David"/>
          <w:b/>
          <w:bCs/>
          <w:sz w:val="30"/>
          <w:szCs w:val="30"/>
          <w:u w:val="single"/>
          <w:rtl/>
        </w:rPr>
        <w:t xml:space="preserve">כתב תביעה</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יליד 16.5.2006, הועסק על ידי הנתבעת, חברה להפקת אירועים, כמלצר באירועים, ברציפות מיום </w:t>
      </w:r>
      <w:r>
        <w:rPr>
          <w:rFonts w:ascii="David" w:cs="David" w:eastAsia="David" w:hAnsi="David"/>
          <w:b/>
          <w:bCs/>
          <w:sz w:val="23"/>
          <w:szCs w:val="23"/>
          <w:rtl/>
        </w:rPr>
        <w:t xml:space="preserve">01.05.2022</w:t>
      </w:r>
      <w:r>
        <w:rPr>
          <w:rFonts w:ascii="David" w:cs="David" w:eastAsia="David" w:hAnsi="David"/>
          <w:sz w:val="23"/>
          <w:szCs w:val="23"/>
          <w:rtl/>
        </w:rPr>
        <w:t xml:space="preserve"> ועד ליום </w:t>
      </w:r>
      <w:r>
        <w:rPr>
          <w:rFonts w:ascii="David" w:cs="David" w:eastAsia="David" w:hAnsi="David"/>
          <w:b/>
          <w:bCs/>
          <w:sz w:val="23"/>
          <w:szCs w:val="23"/>
          <w:rtl/>
        </w:rPr>
        <w:t xml:space="preserve">28.9.2024</w:t>
      </w:r>
      <w:r>
        <w:rPr>
          <w:rFonts w:ascii="David" w:cs="David" w:eastAsia="David" w:hAnsi="David"/>
          <w:sz w:val="23"/>
          <w:szCs w:val="23"/>
          <w:rtl/>
        </w:rPr>
        <w:t xml:space="preserve">, שנתיים וחמישה חודשים. תלושי השכר מצורפים כנספח א'.</w:t>
      </w:r>
    </w:p>
    <w:p>
      <w:pPr>
        <w:pStyle w:val="ListParagraph"/>
        <w:numPr>
          <w:ilvl w:val="0"/>
          <w:numId w:val="2"/>
        </w:numPr>
        <w:bidi/>
        <w:spacing w:after="70" w:before="0" w:line="276" w:lineRule="auto"/>
        <w:jc w:val="both"/>
      </w:pPr>
      <w:r>
        <w:rPr>
          <w:rFonts w:ascii="David" w:cs="David" w:eastAsia="David" w:hAnsi="David"/>
          <w:sz w:val="23"/>
          <w:szCs w:val="23"/>
          <w:rtl/>
        </w:rPr>
        <w:t xml:space="preserve">במרבית תקופת העבודה היה התובע קטין, והעסקתו כפופה להוראות חוק עבודת הנוער, התשי"ג-1953.</w:t>
      </w:r>
    </w:p>
    <w:p>
      <w:pPr>
        <w:pStyle w:val="ListParagraph"/>
        <w:numPr>
          <w:ilvl w:val="0"/>
          <w:numId w:val="2"/>
        </w:numPr>
        <w:bidi/>
        <w:spacing w:after="70" w:before="0" w:line="276" w:lineRule="auto"/>
        <w:jc w:val="both"/>
      </w:pPr>
      <w:r>
        <w:rPr>
          <w:rFonts w:ascii="David" w:cs="David" w:eastAsia="David" w:hAnsi="David"/>
          <w:sz w:val="23"/>
          <w:szCs w:val="23"/>
          <w:rtl/>
        </w:rPr>
        <w:t xml:space="preserve">שכרו של התובע שולם לפי תעריף שעתי (30 ₪, ומשנת 2024 32.33 ₪) בתוספת תשלום קבוע למשמרת אירוע (250-300 ₪).</w:t>
      </w:r>
    </w:p>
    <w:p>
      <w:pPr>
        <w:pStyle w:val="ListParagraph"/>
        <w:numPr>
          <w:ilvl w:val="0"/>
          <w:numId w:val="2"/>
        </w:numPr>
        <w:bidi/>
        <w:spacing w:after="70" w:before="0" w:line="276" w:lineRule="auto"/>
        <w:jc w:val="both"/>
      </w:pPr>
      <w:r>
        <w:rPr>
          <w:rFonts w:ascii="David" w:cs="David" w:eastAsia="David" w:hAnsi="David"/>
          <w:sz w:val="23"/>
          <w:szCs w:val="23"/>
          <w:rtl/>
        </w:rPr>
        <w:t xml:space="preserve">שכרו הממוצע של התובע בשנים-עשר חודשי העבודה האחרונים, בנטרול דמי הבראה, עמד על </w:t>
      </w:r>
      <w:r>
        <w:rPr>
          <w:rFonts w:ascii="David" w:cs="David" w:eastAsia="David" w:hAnsi="David"/>
          <w:b/>
          <w:bCs/>
          <w:sz w:val="23"/>
          <w:szCs w:val="23"/>
          <w:rtl/>
        </w:rPr>
        <w:t xml:space="preserve">3,500 ₪</w:t>
      </w:r>
      <w:r>
        <w:rPr>
          <w:rFonts w:ascii="David" w:cs="David" w:eastAsia="David" w:hAnsi="David"/>
          <w:sz w:val="23"/>
          <w:szCs w:val="23"/>
          <w:rtl/>
        </w:rPr>
        <w:t xml:space="preserve"> לחודש (להלן: "השכר הקובע").</w:t>
      </w:r>
    </w:p>
    <w:p>
      <w:pPr>
        <w:pStyle w:val="ListParagraph"/>
        <w:numPr>
          <w:ilvl w:val="0"/>
          <w:numId w:val="2"/>
        </w:numPr>
        <w:bidi/>
        <w:spacing w:after="70" w:before="0" w:line="276" w:lineRule="auto"/>
        <w:jc w:val="both"/>
      </w:pPr>
      <w:r>
        <w:rPr>
          <w:rFonts w:ascii="David" w:cs="David" w:eastAsia="David" w:hAnsi="David"/>
          <w:sz w:val="23"/>
          <w:szCs w:val="23"/>
          <w:rtl/>
        </w:rPr>
        <w:t xml:space="preserve">העסקת התובע הסתיימה ביום 28.9.2024 עקב גיוסו לשירות סדיר בצה"ל. התפטרות עקב גיוס דינה כפיטורים לעניין פיצויי פיטורים, מכוח סעיף 11(ג) לחוק פיצויי פיטורים, התשכ"ג-1963.</w:t>
      </w:r>
    </w:p>
    <w:p>
      <w:pPr>
        <w:pStyle w:val="ListParagraph"/>
        <w:numPr>
          <w:ilvl w:val="0"/>
          <w:numId w:val="2"/>
        </w:numPr>
        <w:bidi/>
        <w:spacing w:after="70" w:before="0" w:line="276" w:lineRule="auto"/>
        <w:jc w:val="both"/>
      </w:pPr>
      <w:r>
        <w:rPr>
          <w:rFonts w:ascii="David" w:cs="David" w:eastAsia="David" w:hAnsi="David"/>
          <w:sz w:val="23"/>
          <w:szCs w:val="23"/>
          <w:rtl/>
        </w:rPr>
        <w:t xml:space="preserve">הנתבעת לא ערכה לתובע גמר חשבון ולא שילמה לו דבר בגין זכויותיו. פניות התובע אליה נענו בהתעלמות מוחלטת.</w:t>
      </w:r>
    </w:p>
    <w:p>
      <w:pPr>
        <w:pStyle w:val="ListParagraph"/>
        <w:numPr>
          <w:ilvl w:val="0"/>
          <w:numId w:val="2"/>
        </w:numPr>
        <w:bidi/>
        <w:spacing w:after="70" w:before="0" w:line="276" w:lineRule="auto"/>
        <w:jc w:val="both"/>
      </w:pPr>
      <w:r>
        <w:rPr>
          <w:rFonts w:ascii="David" w:cs="David" w:eastAsia="David" w:hAnsi="David"/>
          <w:sz w:val="23"/>
          <w:szCs w:val="23"/>
          <w:rtl/>
        </w:rPr>
        <w:t xml:space="preserve">ביום 13.7.2026 שלח ב"כ התובע לנתבעת מכתב התראה בדואר רשום (נספח ב'). הנתבעת לא השיבה ולא שילמה. תלושי השכר הופקו לראשונה ביום 3.8.2026, כעולה מגוף התלושים עצמם.</w:t>
      </w:r>
    </w:p>
    <w:p>
      <w:pPr>
        <w:pStyle w:val="ListParagraph"/>
        <w:numPr>
          <w:ilvl w:val="0"/>
          <w:numId w:val="2"/>
        </w:numPr>
        <w:bidi/>
        <w:spacing w:after="70" w:before="0" w:line="276" w:lineRule="auto"/>
        <w:jc w:val="both"/>
      </w:pPr>
      <w:r>
        <w:rPr>
          <w:rFonts w:ascii="David" w:cs="David" w:eastAsia="David" w:hAnsi="David"/>
          <w:sz w:val="23"/>
          <w:szCs w:val="23"/>
          <w:rtl/>
        </w:rPr>
        <w:t xml:space="preserve">מרישומי הנתבעת עצמה עולה כי התובע הועסק דרך קבע במשמרות שחרגו משמונה שעות, ובחלק מהחודשים (5-6/2023, 12/2023, 1/2024) במשמרות של 12-13 שעות בממוצע. בפועל הועסק התובע במשמרות בנות 11-13 שעות.</w:t>
      </w:r>
    </w:p>
    <w:p>
      <w:pPr>
        <w:pStyle w:val="ListParagraph"/>
        <w:numPr>
          <w:ilvl w:val="0"/>
          <w:numId w:val="2"/>
        </w:numPr>
        <w:bidi/>
        <w:spacing w:after="70" w:before="0" w:line="276" w:lineRule="auto"/>
        <w:jc w:val="both"/>
      </w:pPr>
      <w:r>
        <w:rPr>
          <w:rFonts w:ascii="David" w:cs="David" w:eastAsia="David" w:hAnsi="David"/>
          <w:sz w:val="23"/>
          <w:szCs w:val="23"/>
          <w:rtl/>
        </w:rPr>
        <w:t xml:space="preserve">סעיף 20 לחוק עבודת הנוער אוסר להעסיק נער מעבר לשמונה שעות ביום, וסעיף 16 לחוק שעות עבודה ומנוחה, התשי"א-1951, מחייב גמול של 125% ו-150%. הנתבעת לא שילמה גמול כלשהו.</w:t>
      </w:r>
    </w:p>
    <w:p>
      <w:pPr>
        <w:pStyle w:val="ListParagraph"/>
        <w:numPr>
          <w:ilvl w:val="0"/>
          <w:numId w:val="2"/>
        </w:numPr>
        <w:bidi/>
        <w:spacing w:after="70" w:before="0" w:line="276" w:lineRule="auto"/>
        <w:jc w:val="both"/>
      </w:pPr>
      <w:r>
        <w:rPr>
          <w:rFonts w:ascii="David" w:cs="David" w:eastAsia="David" w:hAnsi="David"/>
          <w:sz w:val="23"/>
          <w:szCs w:val="23"/>
          <w:rtl/>
        </w:rPr>
        <w:t xml:space="preserve">הנתבעת לא ניהלה פנקס שעות כדין, ומכוח סעיף 26ב לחוק הגנת השכר, התשי"ח-1958, נטל ההוכחה בעניין היקף השעות מוטל עליה.</w:t>
      </w:r>
    </w:p>
    <w:p>
      <w:pPr>
        <w:pStyle w:val="ListParagraph"/>
        <w:numPr>
          <w:ilvl w:val="0"/>
          <w:numId w:val="2"/>
        </w:numPr>
        <w:bidi/>
        <w:spacing w:after="70" w:before="0" w:line="276" w:lineRule="auto"/>
        <w:jc w:val="both"/>
      </w:pPr>
      <w:r>
        <w:rPr>
          <w:rFonts w:ascii="David" w:cs="David" w:eastAsia="David" w:hAnsi="David"/>
          <w:sz w:val="23"/>
          <w:szCs w:val="23"/>
          <w:rtl/>
        </w:rPr>
        <w:t xml:space="preserve">פיצויי פיטורים לא שולמו לתובע כלל, אף שהועסק למעלה משנתיים וסיום עבודתו מזכה בפיצויים מכוח החוק.</w:t>
      </w:r>
    </w:p>
    <w:p>
      <w:pPr>
        <w:pStyle w:val="ListParagraph"/>
        <w:numPr>
          <w:ilvl w:val="0"/>
          <w:numId w:val="2"/>
        </w:numPr>
        <w:bidi/>
        <w:spacing w:after="70" w:before="0" w:line="276" w:lineRule="auto"/>
        <w:jc w:val="both"/>
      </w:pPr>
      <w:r>
        <w:rPr>
          <w:rFonts w:ascii="David" w:cs="David" w:eastAsia="David" w:hAnsi="David"/>
          <w:sz w:val="23"/>
          <w:szCs w:val="23"/>
          <w:rtl/>
        </w:rPr>
        <w:t xml:space="preserve">נער זכאי ל-18 ימי חופשה בשנה (סעיף 27 לחוק עבודת הנוער). תלוש השכר האחרון, לחודש 8/2024, מודה ביתרה של 15.26 ימים בלתי מנוצלים, ואף היא לא נפדתה, בניגוד לסעיף 13 לחוק חופשה שנתית, התשי"א-1951.</w:t>
      </w:r>
    </w:p>
    <w:p>
      <w:pPr>
        <w:pStyle w:val="ListParagraph"/>
        <w:numPr>
          <w:ilvl w:val="0"/>
          <w:numId w:val="2"/>
        </w:numPr>
        <w:bidi/>
        <w:spacing w:after="70" w:before="0" w:line="276" w:lineRule="auto"/>
        <w:jc w:val="both"/>
      </w:pPr>
      <w:r>
        <w:rPr>
          <w:rFonts w:ascii="David" w:cs="David" w:eastAsia="David" w:hAnsi="David"/>
          <w:sz w:val="23"/>
          <w:szCs w:val="23"/>
          <w:rtl/>
        </w:rPr>
        <w:t xml:space="preserve">כעובד שעתי בעל ותק העולה על שלושה חודשים זכאי היה התובע לתשעה ימי חג בשנה מכוח צו ההרחבה הכללי במשק (הסכם המסגרת משנת 2000). לא שולם דבר.</w:t>
      </w:r>
    </w:p>
    <w:p>
      <w:pPr>
        <w:pStyle w:val="ListParagraph"/>
        <w:numPr>
          <w:ilvl w:val="0"/>
          <w:numId w:val="2"/>
        </w:numPr>
        <w:bidi/>
        <w:spacing w:after="70" w:before="0" w:line="276" w:lineRule="auto"/>
        <w:jc w:val="both"/>
      </w:pPr>
      <w:r>
        <w:rPr>
          <w:rFonts w:ascii="David" w:cs="David" w:eastAsia="David" w:hAnsi="David"/>
          <w:sz w:val="23"/>
          <w:szCs w:val="23"/>
          <w:rtl/>
        </w:rPr>
        <w:t xml:space="preserve">לא נמסרה לתובע הודעה על תנאי עבודתו, בניגוד לחוק הודעה לעובד ולמועמד לעבודה, התשס"ב-2002, ותלושי השכר לא נמסרו לו במועדם, בניגוד לסעיף 24 לחוק הגנת השכר. כל אחת מההפרות מקימה זכות לפיצוי לדוגמה ללא הוכחת נזק.</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זכאי לפיצויי פיטורים בסך </w:t>
      </w:r>
      <w:r>
        <w:rPr>
          <w:rFonts w:ascii="David" w:cs="David" w:eastAsia="David" w:hAnsi="David"/>
          <w:b/>
          <w:bCs/>
          <w:sz w:val="23"/>
          <w:szCs w:val="23"/>
          <w:rtl/>
        </w:rPr>
        <w:t xml:space="preserve">8,458 ₪</w:t>
      </w:r>
      <w:r>
        <w:rPr>
          <w:rFonts w:ascii="David" w:cs="David" w:eastAsia="David" w:hAnsi="David"/>
          <w:sz w:val="23"/>
          <w:szCs w:val="23"/>
          <w:rtl/>
        </w:rPr>
        <w:t xml:space="preserve">, לפי 3,500 ₪ × 29/12 חודשי עבודה.</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זכאי לגמול שעות נוספות בסך </w:t>
      </w:r>
      <w:r>
        <w:rPr>
          <w:rFonts w:ascii="David" w:cs="David" w:eastAsia="David" w:hAnsi="David"/>
          <w:b/>
          <w:bCs/>
          <w:sz w:val="23"/>
          <w:szCs w:val="23"/>
          <w:rtl/>
        </w:rPr>
        <w:t xml:space="preserve">25,175 ₪</w:t>
      </w:r>
      <w:r>
        <w:rPr>
          <w:rFonts w:ascii="David" w:cs="David" w:eastAsia="David" w:hAnsi="David"/>
          <w:sz w:val="23"/>
          <w:szCs w:val="23"/>
          <w:rtl/>
        </w:rPr>
        <w:t xml:space="preserve">: 281 משמרות × 3 שעות נוספות למשמרת (שתיים ב-125% ואחת ב-150%, 120 ₪ למשמרת לפי 30 ₪ לשעה) = 33,720 ₪, בניכוי 8,545 ₪ ששולמו כשכר יסוד שעתי.</w:t>
      </w:r>
    </w:p>
    <w:p>
      <w:pPr>
        <w:pStyle w:val="ListParagraph"/>
        <w:numPr>
          <w:ilvl w:val="0"/>
          <w:numId w:val="2"/>
        </w:numPr>
        <w:bidi/>
        <w:spacing w:after="70" w:before="0" w:line="276" w:lineRule="auto"/>
        <w:jc w:val="both"/>
      </w:pPr>
      <w:r>
        <w:rPr>
          <w:rFonts w:ascii="David" w:cs="David" w:eastAsia="David" w:hAnsi="David"/>
          <w:sz w:val="23"/>
          <w:szCs w:val="23"/>
          <w:rtl/>
        </w:rPr>
        <w:t xml:space="preserve">החישוב נופל מחזקת 15 השעות הנוספות השבועיות שבסעיף 26ב לחוק הגנת השכר. לחלופין, ולכל הפחות, לפי רישומי הנתבעת עצמה: 475 שעות נוספות, ובסה"כ 11,049 ₪.</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זכאי לפדיון חופשה בסך </w:t>
      </w:r>
      <w:r>
        <w:rPr>
          <w:rFonts w:ascii="David" w:cs="David" w:eastAsia="David" w:hAnsi="David"/>
          <w:b/>
          <w:bCs/>
          <w:sz w:val="23"/>
          <w:szCs w:val="23"/>
          <w:rtl/>
        </w:rPr>
        <w:t xml:space="preserve">6,909 ₪</w:t>
      </w:r>
      <w:r>
        <w:rPr>
          <w:rFonts w:ascii="David" w:cs="David" w:eastAsia="David" w:hAnsi="David"/>
          <w:sz w:val="23"/>
          <w:szCs w:val="23"/>
          <w:rtl/>
        </w:rPr>
        <w:t xml:space="preserve">, לפי 21 ימים (18 ימים לשנה, באופן יחסי לימי העבודה בפועל) × 329 ₪, שכרו היומי הממוצע לפי סעיף 10 לחוק חופשה שנתית (92,533 ₪ שכר לכל התקופה / 281 ימי עבודה).</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זכאי לדמי חגים בסך </w:t>
      </w:r>
      <w:r>
        <w:rPr>
          <w:rFonts w:ascii="David" w:cs="David" w:eastAsia="David" w:hAnsi="David"/>
          <w:b/>
          <w:bCs/>
          <w:sz w:val="23"/>
          <w:szCs w:val="23"/>
          <w:rtl/>
        </w:rPr>
        <w:t xml:space="preserve">2,578 ₪</w:t>
      </w:r>
      <w:r>
        <w:rPr>
          <w:rFonts w:ascii="David" w:cs="David" w:eastAsia="David" w:hAnsi="David"/>
          <w:sz w:val="23"/>
          <w:szCs w:val="23"/>
          <w:rtl/>
        </w:rPr>
        <w:t xml:space="preserve">, לפי 9 ימים × 286.44 ₪.</w:t>
      </w:r>
    </w:p>
    <w:p>
      <w:pPr>
        <w:pStyle w:val="ListParagraph"/>
        <w:numPr>
          <w:ilvl w:val="0"/>
          <w:numId w:val="2"/>
        </w:numPr>
        <w:bidi/>
        <w:spacing w:after="70" w:before="0" w:line="276" w:lineRule="auto"/>
        <w:jc w:val="both"/>
      </w:pPr>
      <w:r>
        <w:rPr>
          <w:rFonts w:ascii="David" w:cs="David" w:eastAsia="David" w:hAnsi="David"/>
          <w:sz w:val="23"/>
          <w:szCs w:val="23"/>
          <w:rtl/>
        </w:rPr>
        <w:t xml:space="preserve">התובע זכאי לפיצוי לדוגמה בסך </w:t>
      </w:r>
      <w:r>
        <w:rPr>
          <w:rFonts w:ascii="David" w:cs="David" w:eastAsia="David" w:hAnsi="David"/>
          <w:b/>
          <w:bCs/>
          <w:sz w:val="23"/>
          <w:szCs w:val="23"/>
          <w:rtl/>
        </w:rPr>
        <w:t xml:space="preserve">20,000 ₪</w:t>
      </w:r>
      <w:r>
        <w:rPr>
          <w:rFonts w:ascii="David" w:cs="David" w:eastAsia="David" w:hAnsi="David"/>
          <w:sz w:val="23"/>
          <w:szCs w:val="23"/>
          <w:rtl/>
        </w:rPr>
        <w:t xml:space="preserve">: 10,000 ₪ בגין אי-מסירת הודעה על תנאי עבודה לעובד קטין, ו-10,000 ₪ בגין אי-מסירת 27 תלושי שכר לאורך כל תקופת העבודה, אשר הופקו לראשונה שנתיים לאחר סיומה.</w:t>
      </w:r>
    </w:p>
    <w:p>
      <w:pPr>
        <w:pStyle w:val="ListParagraph"/>
        <w:numPr>
          <w:ilvl w:val="0"/>
          <w:numId w:val="2"/>
        </w:numPr>
        <w:bidi/>
        <w:spacing w:after="70" w:before="0" w:line="276" w:lineRule="auto"/>
        <w:jc w:val="both"/>
      </w:pPr>
      <w:r>
        <w:rPr>
          <w:rFonts w:ascii="David" w:cs="David" w:eastAsia="David" w:hAnsi="David"/>
          <w:b/>
          <w:bCs/>
          <w:sz w:val="23"/>
          <w:szCs w:val="23"/>
          <w:rtl/>
        </w:rPr>
        <w:t xml:space="preserve">סיכום. </w:t>
      </w:r>
      <w:r>
        <w:rPr>
          <w:rFonts w:ascii="David" w:cs="David" w:eastAsia="David" w:hAnsi="David"/>
          <w:sz w:val="23"/>
          <w:szCs w:val="23"/>
          <w:rtl/>
        </w:rPr>
        <w:t xml:space="preserve">על הנתבעת לשלם לתובע את הסך </w:t>
      </w:r>
      <w:r>
        <w:rPr>
          <w:rFonts w:ascii="David" w:cs="David" w:eastAsia="David" w:hAnsi="David"/>
          <w:b/>
          <w:bCs/>
          <w:sz w:val="23"/>
          <w:szCs w:val="23"/>
          <w:rtl/>
        </w:rPr>
        <w:t xml:space="preserve">63,120 ₪</w:t>
      </w:r>
      <w:r>
        <w:rPr>
          <w:rFonts w:ascii="David" w:cs="David" w:eastAsia="David" w:hAnsi="David"/>
          <w:sz w:val="23"/>
          <w:szCs w:val="23"/>
          <w:rtl/>
        </w:rPr>
        <w:t xml:space="preserve">, בצירוף הפרשי הצמדה וריבית כחוק ממועד היווצרות כל אחד מהחיובים ועד התשלום בפועל.</w:t>
      </w:r>
    </w:p>
    <w:p>
      <w:pPr>
        <w:pStyle w:val="ListParagraph"/>
        <w:numPr>
          <w:ilvl w:val="0"/>
          <w:numId w:val="2"/>
        </w:numPr>
        <w:bidi/>
        <w:spacing w:after="70" w:before="0" w:line="276" w:lineRule="auto"/>
        <w:jc w:val="both"/>
      </w:pPr>
      <w:r>
        <w:rPr>
          <w:rFonts w:ascii="David" w:cs="David" w:eastAsia="David" w:hAnsi="David"/>
          <w:sz w:val="23"/>
          <w:szCs w:val="23"/>
          <w:rtl/>
        </w:rPr>
        <w:t xml:space="preserve">לבית דין נכבד זה הסמכות העניינית מכוח סעיף 24(א)(1) לחוק בית הדין לעבודה, התשכ"ט-1969, והסמכות המקומית בהיות מקום ביצוע העבודה באזור שיפוטו.</w:t>
      </w:r>
    </w:p>
    <w:p>
      <w:pPr>
        <w:pStyle w:val="ListParagraph"/>
        <w:numPr>
          <w:ilvl w:val="0"/>
          <w:numId w:val="2"/>
        </w:numPr>
        <w:bidi/>
        <w:spacing w:after="70" w:before="0" w:line="276" w:lineRule="auto"/>
        <w:jc w:val="both"/>
      </w:pPr>
      <w:r>
        <w:rPr>
          <w:rFonts w:ascii="David" w:cs="David" w:eastAsia="David" w:hAnsi="David"/>
          <w:sz w:val="23"/>
          <w:szCs w:val="23"/>
          <w:rtl/>
        </w:rPr>
        <w:t xml:space="preserve">אין באמור לעיל כדי למצות או לגרוע מכל טענה או זכות העומדת לתובע על פי כל דין, הסכם, נוהג או צו הרחבה, והתובע שומר על זכותו לתקן את כתב התביעה עם קבלת מלוא המסמכים מהנתבעת.</w:t>
      </w:r>
    </w:p>
    <w:p>
      <w:pPr>
        <w:pStyle w:val="ListParagraph"/>
        <w:numPr>
          <w:ilvl w:val="0"/>
          <w:numId w:val="2"/>
        </w:numPr>
        <w:bidi/>
        <w:spacing w:after="70" w:before="0" w:line="276" w:lineRule="auto"/>
        <w:jc w:val="both"/>
      </w:pPr>
      <w:r>
        <w:rPr>
          <w:rFonts w:ascii="David" w:cs="David" w:eastAsia="David" w:hAnsi="David"/>
          <w:sz w:val="23"/>
          <w:szCs w:val="23"/>
          <w:rtl/>
        </w:rPr>
        <w:t xml:space="preserve">אשר על כן מתבקש בית הדין הנכבד להזמין את הנתבעת לדין, לחייבה בתשלום הסכומים המפורטים לעיל, וכן לחייבה בהוצאות המשפט ובשכר טרחת עו"ד בתוספת מע"מ כדין.</w:t>
      </w:r>
    </w:p>
    <w:p>
      <w:pPr>
        <w:bidi/>
        <w:spacing w:after="200" w:before="0" w:line="276" w:lineRule="auto"/>
        <w:jc w:val="both"/>
      </w:pPr>
      <w:r>
        <w:rPr>
          <w:rFonts w:ascii="David" w:cs="David" w:eastAsia="David" w:hAnsi="David"/>
          <w:sz w:val="23"/>
          <w:szCs w:val="23"/>
          <w:rtl/>
        </w:rPr>
        <w:t xml:space="preserve"/>
      </w:r>
    </w:p>
    <w:p>
      <w:pPr>
        <w:bidi/>
        <w:spacing w:after="0" w:before="0" w:line="276" w:lineRule="auto"/>
        <w:jc w:val="end"/>
      </w:pPr>
      <w:r>
        <w:rPr>
          <w:rFonts w:ascii="David" w:cs="David" w:eastAsia="David" w:hAnsi="David"/>
          <w:sz w:val="23"/>
          <w:szCs w:val="23"/>
          <w:rtl/>
        </w:rPr>
        <w:t xml:space="preserve">_________________</w:t>
      </w:r>
    </w:p>
    <w:p>
      <w:pPr>
        <w:bidi/>
        <w:spacing w:after="0" w:before="0" w:line="276" w:lineRule="auto"/>
        <w:ind w:left="0" w:right="0"/>
        <w:jc w:val="end"/>
      </w:pPr>
      <w:r>
        <w:rPr>
          <w:rFonts w:ascii="David" w:cs="David" w:eastAsia="David" w:hAnsi="David"/>
          <w:b/>
          <w:bCs/>
          <w:sz w:val="23"/>
          <w:szCs w:val="23"/>
          <w:rtl/>
        </w:rPr>
        <w:t xml:space="preserve">סולומון טקה, עו"ד</w:t>
      </w:r>
    </w:p>
    <w:p>
      <w:pPr>
        <w:bidi/>
        <w:spacing w:after="0" w:before="0" w:line="276" w:lineRule="auto"/>
        <w:jc w:val="end"/>
      </w:pPr>
      <w:r>
        <w:rPr>
          <w:rFonts w:ascii="David" w:cs="David" w:eastAsia="David" w:hAnsi="David"/>
          <w:sz w:val="23"/>
          <w:szCs w:val="23"/>
          <w:rtl/>
        </w:rPr>
        <w:t xml:space="preserve">ב"כ התובע</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b/>
        <w:bCs/>
        <w:sz w:val="23"/>
        <w:szCs w:val="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2026-09-10T09:53:14.926Z</dcterms:created>
  <dcterms:modified xsi:type="dcterms:W3CDTF">2026-09-10T09:53:14.940Z</dcterms:modified>
</cp:coreProperties>
</file>

<file path=docProps/custom.xml><?xml version="1.0" encoding="utf-8"?>
<Properties xmlns="http://schemas.openxmlformats.org/officeDocument/2006/custom-properties" xmlns:vt="http://schemas.openxmlformats.org/officeDocument/2006/docPropsVTypes"/>
</file>