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המשפט לענייני משפחה בחדרה</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מספר תיק: </w:t>
            </w:r>
            <w:r>
              <w:rPr>
                <w:rFonts w:ascii="David" w:cs="David" w:eastAsia="David" w:hAnsi="David"/>
                <w:b w:val="false"/>
                <w:bCs w:val="false"/>
                <w:sz w:val="24"/>
                <w:szCs w:val="24"/>
                <w:rtl/>
              </w:rPr>
              <w:t xml:space="preserve">______________</w:t>
            </w:r>
            <w:r>
              <w:rPr>
                <w:rFonts w:ascii="David" w:cs="David" w:eastAsia="David" w:hAnsi="David"/>
                <w:b w:val="false"/>
                <w:bCs w:val="false"/>
                <w:sz w:val="26"/>
                <w:szCs w:val="26"/>
                <w:rtl/>
              </w:rPr>
              <w:t xml:space="preserve"> </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20" w:before="0" w:line="360" w:lineRule="auto"/>
        <w:jc w:val="both"/>
      </w:pPr>
      <w:r>
        <w:rPr>
          <w:rFonts w:ascii="David" w:cs="David" w:eastAsia="David" w:hAnsi="David"/>
          <w:b/>
          <w:bCs/>
          <w:sz w:val="24"/>
          <w:szCs w:val="24"/>
          <w:rtl/>
        </w:rPr>
        <w:t xml:space="preserve">התובע:</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מלא</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ת.ז. </w:t>
      </w:r>
      <w:r>
        <w:rPr>
          <w:rFonts w:ascii="David" w:cs="David" w:eastAsia="David" w:hAnsi="David"/>
          <w:b w:val="false"/>
          <w:bCs w:val="false"/>
          <w:sz w:val="24"/>
          <w:szCs w:val="24"/>
          <w:rtl/>
        </w:rPr>
        <w:t xml:space="preserve">______________</w:t>
      </w:r>
    </w:p>
    <w:p>
      <w:pPr>
        <w:bidi/>
        <w:spacing w:after="0" w:before="0" w:line="360" w:lineRule="auto"/>
        <w:jc w:val="both"/>
      </w:pPr>
      <w:r>
        <w:rPr>
          <w:rFonts w:ascii="David" w:cs="David" w:eastAsia="David" w:hAnsi="David"/>
          <w:b w:val="false"/>
          <w:bCs w:val="false"/>
          <w:sz w:val="24"/>
          <w:szCs w:val="24"/>
          <w:rtl/>
        </w:rPr>
        <w:t xml:space="preserve">			יליד אתיופיה, עולה</w:t>
      </w:r>
    </w:p>
    <w:p>
      <w:pPr>
        <w:bidi/>
        <w:spacing w:after="0" w:before="0" w:line="360" w:lineRule="auto"/>
        <w:jc w:val="both"/>
      </w:pPr>
      <w:r>
        <w:rPr>
          <w:rFonts w:ascii="David" w:cs="David" w:eastAsia="David" w:hAnsi="David"/>
          <w:b w:val="false"/>
          <w:bCs w:val="false"/>
          <w:sz w:val="24"/>
          <w:szCs w:val="24"/>
          <w:rtl/>
        </w:rPr>
        <w:t xml:space="preserve">			מרחוב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רחוב ומספר</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עיר</w:t>
      </w:r>
      <w:r>
        <w:rPr>
          <w:rFonts w:ascii="David" w:cs="David" w:eastAsia="David" w:hAnsi="David"/>
          <w:b w:val="false"/>
          <w:bCs w:val="false"/>
          <w:sz w:val="24"/>
          <w:szCs w:val="24"/>
          <w:rtl/>
        </w:rPr>
        <w:t xml:space="preserve">)</w:t>
      </w:r>
    </w:p>
    <w:p>
      <w:pPr>
        <w:bidi/>
        <w:spacing w:after="0" w:before="0" w:line="360" w:lineRule="auto"/>
        <w:jc w:val="both"/>
      </w:pPr>
      <w:r>
        <w:rPr>
          <w:rFonts w:ascii="David" w:cs="David" w:eastAsia="David" w:hAnsi="David"/>
          <w:b w:val="false"/>
          <w:bCs w:val="false"/>
          <w:sz w:val="24"/>
          <w:szCs w:val="24"/>
          <w:rtl/>
        </w:rPr>
        <w:t xml:space="preserve">			ע"י ב"כ עו"ד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מ.ר. </w:t>
      </w:r>
      <w:r>
        <w:rPr>
          <w:rFonts w:ascii="David" w:cs="David" w:eastAsia="David" w:hAnsi="David"/>
          <w:b w:val="false"/>
          <w:bCs w:val="false"/>
          <w:sz w:val="24"/>
          <w:szCs w:val="24"/>
          <w:rtl/>
        </w:rPr>
        <w:t xml:space="preserve">______________</w:t>
      </w:r>
    </w:p>
    <w:p>
      <w:pPr>
        <w:bidi/>
        <w:spacing w:after="120" w:before="0" w:line="360" w:lineRule="auto"/>
        <w:jc w:val="both"/>
      </w:pPr>
      <w:r>
        <w:rPr>
          <w:rFonts w:ascii="David" w:cs="David" w:eastAsia="David" w:hAnsi="David"/>
          <w:b w:val="false"/>
          <w:bCs w:val="false"/>
          <w:sz w:val="24"/>
          <w:szCs w:val="24"/>
          <w:rtl/>
        </w:rPr>
        <w:t xml:space="preserve">			מרחוב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כתובת המשרד</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 טל'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 דוא"ל </w:t>
      </w:r>
      <w:r>
        <w:rPr>
          <w:rFonts w:ascii="David" w:cs="David" w:eastAsia="David" w:hAnsi="David"/>
          <w:b w:val="false"/>
          <w:bCs w:val="false"/>
          <w:sz w:val="24"/>
          <w:szCs w:val="24"/>
          <w:rtl/>
        </w:rPr>
        <w:t xml:space="preserve">______________</w:t>
      </w:r>
    </w:p>
    <w:p>
      <w:pPr>
        <w:bidi/>
        <w:spacing w:after="60" w:before="60" w:line="360" w:lineRule="auto"/>
        <w:jc w:val="center"/>
      </w:pPr>
      <w:r>
        <w:rPr>
          <w:rFonts w:ascii="David" w:cs="David" w:eastAsia="David" w:hAnsi="David"/>
          <w:b/>
          <w:bCs/>
          <w:sz w:val="24"/>
          <w:szCs w:val="24"/>
          <w:rtl/>
        </w:rPr>
        <w:t xml:space="preserve">- נ ג ד -</w:t>
      </w:r>
    </w:p>
    <w:p>
      <w:pPr>
        <w:bidi/>
        <w:spacing w:after="120" w:before="0" w:line="360" w:lineRule="auto"/>
        <w:jc w:val="both"/>
      </w:pPr>
      <w:r>
        <w:rPr>
          <w:rFonts w:ascii="David" w:cs="David" w:eastAsia="David" w:hAnsi="David"/>
          <w:b/>
          <w:bCs/>
          <w:sz w:val="24"/>
          <w:szCs w:val="24"/>
          <w:rtl/>
        </w:rPr>
        <w:t xml:space="preserve">המשיב:</w:t>
      </w:r>
      <w:r>
        <w:rPr>
          <w:rFonts w:ascii="David" w:cs="David" w:eastAsia="David" w:hAnsi="David"/>
          <w:b w:val="false"/>
          <w:bCs w:val="false"/>
          <w:sz w:val="24"/>
          <w:szCs w:val="24"/>
          <w:rtl/>
        </w:rPr>
        <w:t xml:space="preserve">		היועץ המשפטי לממשלה</w:t>
      </w:r>
    </w:p>
    <w:p>
      <w:pPr>
        <w:bidi/>
        <w:spacing w:after="0" w:before="0" w:line="360" w:lineRule="auto"/>
        <w:jc w:val="both"/>
      </w:pPr>
      <w:r>
        <w:rPr>
          <w:rFonts w:ascii="David" w:cs="David" w:eastAsia="David" w:hAnsi="David"/>
          <w:b w:val="false"/>
          <w:bCs w:val="false"/>
          <w:sz w:val="24"/>
          <w:szCs w:val="24"/>
          <w:rtl/>
        </w:rPr>
        <w:t xml:space="preserve">			באמצעות פרקליטות מחוז חיפה (אזרחי)</w:t>
      </w:r>
    </w:p>
    <w:p>
      <w:pPr>
        <w:bidi/>
        <w:spacing w:after="120" w:before="0" w:line="360" w:lineRule="auto"/>
        <w:jc w:val="both"/>
      </w:pPr>
      <w:r>
        <w:rPr>
          <w:rFonts w:ascii="David" w:cs="David" w:eastAsia="David" w:hAnsi="David"/>
          <w:b w:val="false"/>
          <w:bCs w:val="false"/>
          <w:sz w:val="24"/>
          <w:szCs w:val="24"/>
          <w:rtl/>
        </w:rPr>
        <w:t xml:space="preserve">			(פקיד הרישום במשרד הפנים – רשות האוכלוסין וההגירה יצווה לבצע את התיקון)</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60" w:before="160" w:line="360" w:lineRule="auto"/>
        <w:jc w:val="center"/>
      </w:pPr>
      <w:r>
        <w:rPr>
          <w:rFonts w:ascii="David" w:cs="David" w:eastAsia="David" w:hAnsi="David"/>
          <w:b/>
          <w:bCs/>
          <w:sz w:val="40"/>
          <w:szCs w:val="40"/>
          <w:u w:val="double"/>
          <w:rtl/>
        </w:rPr>
        <w:t xml:space="preserve">כתב תביעה</w:t>
      </w:r>
    </w:p>
    <w:p>
      <w:pPr>
        <w:bidi/>
        <w:spacing w:after="220" w:before="0" w:line="360" w:lineRule="auto"/>
        <w:jc w:val="center"/>
      </w:pPr>
      <w:r>
        <w:rPr>
          <w:rFonts w:ascii="David" w:cs="David" w:eastAsia="David" w:hAnsi="David"/>
          <w:b/>
          <w:bCs/>
          <w:sz w:val="24"/>
          <w:szCs w:val="24"/>
          <w:rtl/>
        </w:rPr>
        <w:t xml:space="preserve">(למתן פסק דין הצהרתי לקביעת גיל – לפי חוק קביעת גיל, התשכ"ד–1963)</w:t>
      </w:r>
    </w:p>
    <w:p>
      <w:pPr>
        <w:bidi/>
        <w:spacing w:after="120" w:before="0" w:line="360" w:lineRule="auto"/>
        <w:jc w:val="both"/>
      </w:pPr>
      <w:r>
        <w:rPr>
          <w:rFonts w:ascii="David" w:cs="David" w:eastAsia="David" w:hAnsi="David"/>
          <w:b w:val="false"/>
          <w:bCs w:val="false"/>
          <w:sz w:val="24"/>
          <w:szCs w:val="24"/>
          <w:rtl/>
        </w:rPr>
        <w:t xml:space="preserve">בית המשפט הנכבד מתבקש בזאת ליתן פסק דין הצהרתי הקובע כי תאריך לידתו הנכון של התובע קודם לתאריך הרשום בשש שנים, וכי בהתאם לכך מלאו לתובע 56 שנים (חלף 50 שנים הרשומות כיום), וכן להורות על תיקון מועד לידתו וגילו של התובע במרשם האוכלוסין ובתעודת הזהות בהתאם; ואלה נימוקי התביעה:</w:t>
      </w:r>
    </w:p>
    <w:p>
      <w:pPr>
        <w:bidi/>
        <w:spacing w:after="120" w:before="240" w:line="360" w:lineRule="auto"/>
        <w:jc w:val="start"/>
      </w:pPr>
      <w:r>
        <w:rPr>
          <w:rFonts w:ascii="David" w:cs="David" w:eastAsia="David" w:hAnsi="David"/>
          <w:b/>
          <w:bCs/>
          <w:sz w:val="24"/>
          <w:szCs w:val="24"/>
          <w:u w:val="single"/>
          <w:rtl/>
        </w:rPr>
        <w:t xml:space="preserve">א. מהות התביעה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עניינה של תביעה זו בבקשת התובע, עולה מאתיופיה, לתקן את מועד לידתו הרשום, לאחר שהתברר לו כי גילו הרשום בתעודת הזהות נמוך מגילו האמיתי בשש שנים. בעוד שברישום הרשמי גילו 50 שנים, גילו הנכון הוא 56 שנים.</w:t>
      </w:r>
    </w:p>
    <w:p>
      <w:pPr>
        <w:bidi/>
        <w:spacing w:after="120" w:before="240" w:line="360" w:lineRule="auto"/>
        <w:jc w:val="start"/>
      </w:pPr>
      <w:r>
        <w:rPr>
          <w:rFonts w:ascii="David" w:cs="David" w:eastAsia="David" w:hAnsi="David"/>
          <w:b/>
          <w:bCs/>
          <w:sz w:val="24"/>
          <w:szCs w:val="24"/>
          <w:u w:val="single"/>
          <w:rtl/>
        </w:rPr>
        <w:t xml:space="preserve">ב. הצדדים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התובע הוא עולה מאתיופיה, אשר עלה ארצה והשתקע בישראל, ומתגורר כיום בתחום השיפוט של בית משפט נכבד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המשיב, היועץ המשפטי לממשלה (באמצעות פרקליטות מחוז חיפה), מצורף כמשיב פורמלי לשם שמירה על האינטרס הציבורי שברישום. פקיד הרישום במשרד הפנים – רשות האוכלוסין וההגירה הוא הגורם שיצווה לבצע את תיקון הרישום מכוח פסק הדין.</w:t>
      </w:r>
    </w:p>
    <w:p>
      <w:pPr>
        <w:bidi/>
        <w:spacing w:after="120" w:before="240" w:line="360" w:lineRule="auto"/>
        <w:jc w:val="start"/>
      </w:pPr>
      <w:r>
        <w:rPr>
          <w:rFonts w:ascii="David" w:cs="David" w:eastAsia="David" w:hAnsi="David"/>
          <w:b/>
          <w:bCs/>
          <w:sz w:val="24"/>
          <w:szCs w:val="24"/>
          <w:u w:val="single"/>
          <w:rtl/>
        </w:rPr>
        <w:t xml:space="preserve">ג. הרקע העובדתי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התובע נולד באתיופיה. במקום ובתקופה בהם נולד לא נהג רישום לידה ממלכתי מסודר, ותאריכי לידה נקבעו על דרך האומדן ולפי זיכרון בני המשפחה ואירועים בני התקופה.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עם עלייתו של התובע ארצה נרשם גילו במרשם האוכלוסין על דרך אומדן מנהלי, בהיעדר תעודת לידה או מסמך רשמי אחר. לפי הרישום, תאריך לידתו של התובע הוא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התאריך הרשום</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ולפיו גילו כיום 50 שנים בלבד (להלן: "הגיל הרשום" ו"התאריך הרשום").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יודגש כי הגיל הרשום נקבע באופן מנהלי-מערכתי בעת הקליטה בלבד, ולא נקבע מעולם בהליך שיפוטי. גילו של התובע לא נקבע מעולם בפסק דין לפי חוק קביעת גיל, ולא הוגשה בעבר בקשה כלשהי לקביעת גילו.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לפני כחצי שנה, במהלך מפגש משפחתי שבו נכח גם אחיו למחצה של התובע, גילה אביו של התובע, מר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האב</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לתובע כי נולד לפני 56 שנים, וכי הגיל הרשום בתעודת הזהות שגוי ונמוך מגילו האמיתי בשש שנים.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אביו של התובע ידע את מועד לידתו של התובע ואת נסיבותיה מידיעה אישית ישירה, בהיותו בבית באותה עת, ועדותו היא הראיה הטובה והמהימנה ביותר באשר לגילו הנכון של התובע.</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גילוי זה בא לתובע בהפתעה, שכן עד אותה עת הסתמך בתום לב על הרישום הרשמי. מששמע את דבר אביו, פעל התובע לבירור העובדות ולתיקון הרישום, ומכאן תביעתו זו.</w:t>
      </w:r>
    </w:p>
    <w:p>
      <w:pPr>
        <w:bidi/>
        <w:spacing w:after="120" w:before="240" w:line="360" w:lineRule="auto"/>
        <w:jc w:val="start"/>
      </w:pPr>
      <w:r>
        <w:rPr>
          <w:rFonts w:ascii="David" w:cs="David" w:eastAsia="David" w:hAnsi="David"/>
          <w:b/>
          <w:bCs/>
          <w:sz w:val="24"/>
          <w:szCs w:val="24"/>
          <w:u w:val="single"/>
          <w:rtl/>
        </w:rPr>
        <w:t xml:space="preserve">ד. הראיות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לתמיכה בעובדות המפורטות לעיל מצורף </w:t>
      </w:r>
      <w:r>
        <w:rPr>
          <w:rFonts w:ascii="David" w:cs="David" w:eastAsia="David" w:hAnsi="David"/>
          <w:b/>
          <w:bCs/>
          <w:sz w:val="24"/>
          <w:szCs w:val="24"/>
          <w:rtl/>
        </w:rPr>
        <w:t xml:space="preserve">תצהיר התובע</w:t>
      </w:r>
      <w:r>
        <w:rPr>
          <w:rFonts w:ascii="David" w:cs="David" w:eastAsia="David" w:hAnsi="David"/>
          <w:b w:val="false"/>
          <w:bCs w:val="false"/>
          <w:sz w:val="24"/>
          <w:szCs w:val="24"/>
          <w:rtl/>
        </w:rPr>
        <w:t xml:space="preserve">, המסומן </w:t>
      </w:r>
      <w:r>
        <w:rPr>
          <w:rFonts w:ascii="David" w:cs="David" w:eastAsia="David" w:hAnsi="David"/>
          <w:b/>
          <w:bCs/>
          <w:sz w:val="24"/>
          <w:szCs w:val="24"/>
          <w:rtl/>
        </w:rPr>
        <w:t xml:space="preserve">נספח א'</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תצהיר אביו של התובע</w:t>
      </w:r>
      <w:r>
        <w:rPr>
          <w:rFonts w:ascii="David" w:cs="David" w:eastAsia="David" w:hAnsi="David"/>
          <w:b w:val="false"/>
          <w:bCs w:val="false"/>
          <w:sz w:val="24"/>
          <w:szCs w:val="24"/>
          <w:rtl/>
        </w:rPr>
        <w:t xml:space="preserve">, מר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האב</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ת.ז.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המאשר את מועד לידת התובע ואת נסיבותיה, והמסומן </w:t>
      </w:r>
      <w:r>
        <w:rPr>
          <w:rFonts w:ascii="David" w:cs="David" w:eastAsia="David" w:hAnsi="David"/>
          <w:b/>
          <w:bCs/>
          <w:sz w:val="24"/>
          <w:szCs w:val="24"/>
          <w:rtl/>
        </w:rPr>
        <w:t xml:space="preserve">נספח ב'</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התצהירים המצורפים משמשים אף לאימות העובדות המפורטות בכתב תביעה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התובע שומר על זכותו להגיש ראיות נוספות ולזמן עדים, ובכלל זה בני משפחה נוספים (לרבות אחיו למחצה), מסמכי עלייה וכל אסמכתה רלוונטית אחרת, ככל שיידרש.</w:t>
      </w:r>
    </w:p>
    <w:p>
      <w:pPr>
        <w:bidi/>
        <w:spacing w:after="120" w:before="240" w:line="360" w:lineRule="auto"/>
        <w:jc w:val="start"/>
      </w:pPr>
      <w:r>
        <w:rPr>
          <w:rFonts w:ascii="David" w:cs="David" w:eastAsia="David" w:hAnsi="David"/>
          <w:b/>
          <w:bCs/>
          <w:sz w:val="24"/>
          <w:szCs w:val="24"/>
          <w:u w:val="single"/>
          <w:rtl/>
        </w:rPr>
        <w:t xml:space="preserve">ה. המסגרת המשפטית וסמכות בית המשפט</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חוק קביעת גיל, התשכ"ד–1963, מסמיך את בית המשפט ליתן פסק דין הצהרתי הקובע את גילו של אדם, מקום בו גילו אינו ידוע או שנוי במחלוקת.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הסמכות העניינית לדון בתובענה לקביעת גיל נתונה לבית המשפט לענייני משפחה, בהתאם לחוק בית המשפט לענייני משפחה, התשנ"ה–1995, שלפיו תובענה לפי חוק קביעת גיל נמנית עם ענייני המשפחה שבסמכותו. הואיל והתובע מתגורר בתחום השיפוט של בית משפט נכבד זה, נתונה לו אף הסמכות המקומית.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הואיל וגילו של התובע נרשם במרשם על דרך אומדן מנהלי ולא נקבע מעולם בפסק דין, אין המדובר בבקשה לשינוי קביעת גיל קודמת של בית משפט (המצויה בסמכות בית המשפט המחוזי ומותנית בטעמים מיוחדים), כי אם בקביעת גיל ראשונה – המצויה בסמכותו של בית משפט נכבד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בבואו לקבוע גיל, רשאי בית המשפט לסטות מדיני הראיות אם ראה צורך בכך לשם גילוי האמת. במקרה דנן, מוצדק להעדיף את עדותו הישירה של האב, שידע את מועד הלידה מידיעה אישית, על פני רישום מנהלי שנעשה על דרך אומדן ובהיעדר כל מסמך.</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קביעת בית המשפט תירשם במרשם האוכלוסין בהתאם לחוק מרשם האוכלוסין, התשכ"ה–1965, ותשמש יסוד לתיקון מועד הלידה, הגיל ותעודת הזהות של התובע.</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לבית המשפט הנכבד נתונה הן הסמכות העניינית והן הסמכות המקומית לדון בתביעה ולהעניק את הסעד המבוקש.</w:t>
      </w:r>
    </w:p>
    <w:p>
      <w:pPr>
        <w:bidi/>
        <w:spacing w:after="120" w:before="240" w:line="360" w:lineRule="auto"/>
        <w:jc w:val="start"/>
      </w:pPr>
      <w:r>
        <w:rPr>
          <w:rFonts w:ascii="David" w:cs="David" w:eastAsia="David" w:hAnsi="David"/>
          <w:b/>
          <w:bCs/>
          <w:sz w:val="24"/>
          <w:szCs w:val="24"/>
          <w:u w:val="single"/>
          <w:rtl/>
        </w:rPr>
        <w:t xml:space="preserve">ו. הסעד המבוקש</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אשר על כן, מתבקש בית המשפט הנכבד:</w:t>
      </w:r>
    </w:p>
    <w:p>
      <w:pPr>
        <w:bidi/>
        <w:spacing w:after="120" w:before="0" w:line="360" w:lineRule="auto"/>
        <w:ind w:left="900" w:hanging="340"/>
        <w:jc w:val="both"/>
      </w:pPr>
      <w:r>
        <w:rPr>
          <w:rFonts w:ascii="David" w:cs="David" w:eastAsia="David" w:hAnsi="David"/>
          <w:b w:val="false"/>
          <w:bCs w:val="false"/>
          <w:sz w:val="24"/>
          <w:szCs w:val="24"/>
          <w:rtl/>
        </w:rPr>
        <w:t xml:space="preserve">א.	</w:t>
      </w:r>
      <w:r>
        <w:rPr>
          <w:rFonts w:ascii="David" w:cs="David" w:eastAsia="David" w:hAnsi="David"/>
          <w:b w:val="false"/>
          <w:bCs w:val="false"/>
          <w:sz w:val="24"/>
          <w:szCs w:val="24"/>
          <w:rtl/>
        </w:rPr>
        <w:t xml:space="preserve">לקבוע, בפסק דין הצהרתי, כי תאריך לידתו הנכון של התובע הוא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התאריך המבוקש</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חלף תאריך הלידה הרשום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התאריך הרשום</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וכי בהתאם לכך מלאו לתובע 56 שנים.</w:t>
      </w:r>
    </w:p>
    <w:p>
      <w:pPr>
        <w:bidi/>
        <w:spacing w:after="120" w:before="0" w:line="360" w:lineRule="auto"/>
        <w:ind w:left="900" w:hanging="340"/>
        <w:jc w:val="both"/>
      </w:pPr>
      <w:r>
        <w:rPr>
          <w:rFonts w:ascii="David" w:cs="David" w:eastAsia="David" w:hAnsi="David"/>
          <w:b w:val="false"/>
          <w:bCs w:val="false"/>
          <w:sz w:val="24"/>
          <w:szCs w:val="24"/>
          <w:rtl/>
        </w:rPr>
        <w:t xml:space="preserve">ב.	</w:t>
      </w:r>
      <w:r>
        <w:rPr>
          <w:rFonts w:ascii="David" w:cs="David" w:eastAsia="David" w:hAnsi="David"/>
          <w:b w:val="false"/>
          <w:bCs w:val="false"/>
          <w:sz w:val="24"/>
          <w:szCs w:val="24"/>
          <w:rtl/>
        </w:rPr>
        <w:t xml:space="preserve">להורות לפקיד הרישום במשרד הפנים – רשות האוכלוסין וההגירה לתקן בהתאם את מועד לידתו וגילו של התובע במרשם האוכלוסין ובתעודת הזהות.</w:t>
      </w:r>
    </w:p>
    <w:p>
      <w:pPr>
        <w:bidi/>
        <w:spacing w:after="120" w:before="0" w:line="360" w:lineRule="auto"/>
        <w:ind w:left="900" w:hanging="340"/>
        <w:jc w:val="both"/>
      </w:pPr>
      <w:r>
        <w:rPr>
          <w:rFonts w:ascii="David" w:cs="David" w:eastAsia="David" w:hAnsi="David"/>
          <w:b w:val="false"/>
          <w:bCs w:val="false"/>
          <w:sz w:val="24"/>
          <w:szCs w:val="24"/>
          <w:rtl/>
        </w:rPr>
        <w:t xml:space="preserve">ג.	</w:t>
      </w:r>
      <w:r>
        <w:rPr>
          <w:rFonts w:ascii="David" w:cs="David" w:eastAsia="David" w:hAnsi="David"/>
          <w:b w:val="false"/>
          <w:bCs w:val="false"/>
          <w:sz w:val="24"/>
          <w:szCs w:val="24"/>
          <w:rtl/>
        </w:rPr>
        <w:t xml:space="preserve">ליתן כל סעד אחר ונוסף שימצא בית המשפט לנכון וצודק בנסיבות העניין.</w:t>
      </w:r>
    </w:p>
    <w:p>
      <w:pPr>
        <w:bidi/>
        <w:spacing w:after="240" w:line="360" w:lineRule="auto"/>
      </w:pPr>
      <w:r>
        <w:rPr>
          <w:rFonts w:ascii="David" w:cs="David" w:eastAsia="David" w:hAnsi="David"/>
          <w:b w:val="false"/>
          <w:bCs w:val="false"/>
          <w:sz w:val="24"/>
          <w:szCs w:val="24"/>
          <w:rtl/>
        </w:rPr>
        <w:t xml:space="preserve"/>
      </w:r>
    </w:p>
    <w:p>
      <w:pPr>
        <w:bidi/>
        <w:spacing w:after="200" w:before="0" w:line="360" w:lineRule="auto"/>
        <w:jc w:val="start"/>
      </w:pPr>
      <w:r>
        <w:rPr>
          <w:rFonts w:ascii="David" w:cs="David" w:eastAsia="David" w:hAnsi="David"/>
          <w:b w:val="false"/>
          <w:bCs w:val="false"/>
          <w:sz w:val="24"/>
          <w:szCs w:val="24"/>
          <w:rtl/>
        </w:rPr>
        <w:t xml:space="preserve">תאריך: </w:t>
      </w:r>
      <w:r>
        <w:rPr>
          <w:rFonts w:ascii="David" w:cs="David" w:eastAsia="David" w:hAnsi="David"/>
          <w:b w:val="false"/>
          <w:bCs w:val="false"/>
          <w:sz w:val="24"/>
          <w:szCs w:val="24"/>
          <w:rtl/>
        </w:rPr>
        <w:t xml:space="preserve">______________</w:t>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p>
      <w:pPr>
        <w:bidi/>
        <w:spacing w:after="0" w:before="0" w:line="360" w:lineRule="auto"/>
        <w:jc w:val="center"/>
      </w:pPr>
      <w:r>
        <w:rPr>
          <w:rFonts w:ascii="David" w:cs="David" w:eastAsia="David" w:hAnsi="David"/>
          <w:b w:val="false"/>
          <w:bCs w:val="false"/>
          <w:sz w:val="24"/>
          <w:szCs w:val="24"/>
          <w:rtl/>
        </w:rPr>
        <w:t xml:space="preserve">ב"כ התובע</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כתב תביעה לקביעת גיל</dc:title>
  <dc:creator>Legal DOCX</dc:creator>
  <cp:lastModifiedBy>Un-named</cp:lastModifiedBy>
  <cp:revision>1</cp:revision>
  <dcterms:created xsi:type="dcterms:W3CDTF">2026-07-22T10:38:23.181Z</dcterms:created>
  <dcterms:modified xsi:type="dcterms:W3CDTF">2026-07-22T10:38:23.181Z</dcterms:modified>
</cp:coreProperties>
</file>

<file path=docProps/custom.xml><?xml version="1.0" encoding="utf-8"?>
<Properties xmlns="http://schemas.openxmlformats.org/officeDocument/2006/custom-properties" xmlns:vt="http://schemas.openxmlformats.org/officeDocument/2006/docPropsVTypes"/>
</file>