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43"/>
        <w:gridCol w:w="3628"/>
      </w:tblGrid>
      <w:tr>
        <w:tc>
          <w:tcPr>
            <w:tcW w:type="dxa" w:w="5443"/>
            <w:tcBorders>
              <w:top w:val="none" w:color="FFFFFF" w:sz="0"/>
              <w:left w:val="none" w:color="FFFFFF" w:sz="0"/>
              <w:bottom w:val="none" w:color="FFFFFF" w:sz="0"/>
              <w:right w:val="none" w:color="FFFFFF" w:sz="0"/>
            </w:tcBorders>
          </w:tcPr>
          <w:p>
            <w:pPr>
              <w:bidi/>
              <w:spacing w:after="40"/>
              <w:jc w:val="start"/>
            </w:pPr>
            <w:r>
              <w:rPr>
                <w:rFonts w:ascii="David" w:cs="David" w:eastAsia="David" w:hAnsi="David"/>
                <w:b/>
                <w:bCs/>
                <w:sz w:val="24"/>
                <w:szCs w:val="24"/>
                <w:rtl/>
              </w:rPr>
              <w:t xml:space="preserve">בבית הדין הרבני האזורי ב________</w:t>
            </w:r>
          </w:p>
        </w:tc>
        <w:tc>
          <w:tcPr>
            <w:tcW w:type="dxa" w:w="3628"/>
            <w:tcBorders>
              <w:top w:val="none" w:color="FFFFFF" w:sz="0"/>
              <w:left w:val="none" w:color="FFFFFF" w:sz="0"/>
              <w:bottom w:val="none" w:color="FFFFFF" w:sz="0"/>
              <w:right w:val="none" w:color="FFFFFF" w:sz="0"/>
            </w:tcBorders>
          </w:tcPr>
          <w:p>
            <w:pPr>
              <w:bidi/>
              <w:spacing w:after="40"/>
              <w:jc w:val="end"/>
            </w:pPr>
            <w:r>
              <w:rPr>
                <w:rFonts w:ascii="David" w:cs="David" w:eastAsia="David" w:hAnsi="David"/>
                <w:b/>
                <w:bCs/>
                <w:sz w:val="24"/>
                <w:szCs w:val="24"/>
                <w:rtl/>
              </w:rPr>
              <w:t xml:space="preserve">תיק מס' ____________</w:t>
            </w:r>
          </w:p>
        </w:tc>
      </w:tr>
    </w:tbl>
    <w:p>
      <w:pPr>
        <w:bidi/>
        <w:spacing w:after="120"/>
        <w:jc w:val="both"/>
      </w:pP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7272"/>
      </w:tblGrid>
      <w:tr>
        <w:tc>
          <w:tcPr>
            <w:tcW w:type="dxa" w:w="1800"/>
            <w:tcBorders>
              <w:top w:val="none" w:color="FFFFFF" w:sz="0"/>
              <w:left w:val="none" w:color="FFFFFF" w:sz="0"/>
              <w:bottom w:val="none" w:color="FFFFFF" w:sz="0"/>
              <w:right w:val="none" w:color="FFFFFF" w:sz="0"/>
            </w:tcBorders>
          </w:tcPr>
          <w:p>
            <w:pPr>
              <w:bidi/>
              <w:spacing w:after="40"/>
              <w:jc w:val="start"/>
            </w:pPr>
            <w:r>
              <w:rPr>
                <w:rFonts w:ascii="David" w:cs="David" w:eastAsia="David" w:hAnsi="David"/>
                <w:b/>
                <w:bCs/>
                <w:sz w:val="24"/>
                <w:szCs w:val="24"/>
                <w:rtl/>
              </w:rPr>
              <w:t xml:space="preserve">התובעת:</w:t>
            </w:r>
          </w:p>
        </w:tc>
        <w:tc>
          <w:tcPr>
            <w:tcW w:type="dxa" w:w="7272"/>
            <w:tcBorders>
              <w:top w:val="none" w:color="FFFFFF" w:sz="0"/>
              <w:left w:val="none" w:color="FFFFFF" w:sz="0"/>
              <w:bottom w:val="none" w:color="FFFFFF" w:sz="0"/>
              <w:right w:val="none" w:color="FFFFFF" w:sz="0"/>
            </w:tcBorders>
          </w:tcPr>
          <w:p>
            <w:pPr>
              <w:bidi/>
              <w:spacing w:after="40"/>
              <w:jc w:val="start"/>
            </w:pPr>
            <w:r>
              <w:rPr>
                <w:rFonts w:ascii="David" w:cs="David" w:eastAsia="David" w:hAnsi="David"/>
                <w:b/>
                <w:bCs/>
                <w:sz w:val="24"/>
                <w:szCs w:val="24"/>
                <w:rtl/>
              </w:rPr>
              <w:t xml:space="preserve">____________ (להלן: "האישה")</w:t>
            </w:r>
          </w:p>
          <w:p>
            <w:pPr>
              <w:bidi/>
              <w:spacing w:after="40"/>
              <w:jc w:val="start"/>
            </w:pPr>
            <w:r>
              <w:rPr>
                <w:rFonts w:ascii="David" w:cs="David" w:eastAsia="David" w:hAnsi="David"/>
                <w:sz w:val="24"/>
                <w:szCs w:val="24"/>
                <w:rtl/>
              </w:rPr>
              <w:t xml:space="preserve">ת"ז ____________</w:t>
            </w:r>
          </w:p>
          <w:p>
            <w:pPr>
              <w:bidi/>
              <w:spacing w:after="40"/>
              <w:jc w:val="start"/>
            </w:pPr>
            <w:r>
              <w:rPr>
                <w:rFonts w:ascii="David" w:cs="David" w:eastAsia="David" w:hAnsi="David"/>
                <w:sz w:val="24"/>
                <w:szCs w:val="24"/>
                <w:rtl/>
              </w:rPr>
              <w:t xml:space="preserve">באמצעות ב"כ עו"ד ____________</w:t>
            </w:r>
          </w:p>
          <w:p>
            <w:pPr>
              <w:bidi/>
              <w:spacing w:after="40"/>
              <w:jc w:val="start"/>
            </w:pPr>
            <w:r>
              <w:rPr>
                <w:rFonts w:ascii="David" w:cs="David" w:eastAsia="David" w:hAnsi="David"/>
                <w:sz w:val="24"/>
                <w:szCs w:val="24"/>
                <w:rtl/>
              </w:rPr>
              <w:t xml:space="preserve">מרח' ____________ | טל' ____________ | פקס ____________</w:t>
            </w:r>
          </w:p>
        </w:tc>
      </w:tr>
    </w:tbl>
    <w:p>
      <w:pPr>
        <w:bidi/>
        <w:spacing w:after="120" w:before="120"/>
        <w:jc w:val="center"/>
      </w:pPr>
      <w:r>
        <w:rPr>
          <w:rFonts w:ascii="David" w:cs="David" w:eastAsia="David" w:hAnsi="David"/>
          <w:b/>
          <w:bCs/>
          <w:sz w:val="24"/>
          <w:szCs w:val="24"/>
          <w:rtl/>
        </w:rPr>
        <w:t xml:space="preserve">- נגד -</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7272"/>
      </w:tblGrid>
      <w:tr>
        <w:tc>
          <w:tcPr>
            <w:tcW w:type="dxa" w:w="1800"/>
            <w:tcBorders>
              <w:top w:val="none" w:color="FFFFFF" w:sz="0"/>
              <w:left w:val="none" w:color="FFFFFF" w:sz="0"/>
              <w:bottom w:val="none" w:color="FFFFFF" w:sz="0"/>
              <w:right w:val="none" w:color="FFFFFF" w:sz="0"/>
            </w:tcBorders>
          </w:tcPr>
          <w:p>
            <w:pPr>
              <w:bidi/>
              <w:spacing w:after="40"/>
              <w:jc w:val="start"/>
            </w:pPr>
            <w:r>
              <w:rPr>
                <w:rFonts w:ascii="David" w:cs="David" w:eastAsia="David" w:hAnsi="David"/>
                <w:b/>
                <w:bCs/>
                <w:sz w:val="24"/>
                <w:szCs w:val="24"/>
                <w:rtl/>
              </w:rPr>
              <w:t xml:space="preserve">הנתבע:</w:t>
            </w:r>
          </w:p>
        </w:tc>
        <w:tc>
          <w:tcPr>
            <w:tcW w:type="dxa" w:w="7272"/>
            <w:tcBorders>
              <w:top w:val="none" w:color="FFFFFF" w:sz="0"/>
              <w:left w:val="none" w:color="FFFFFF" w:sz="0"/>
              <w:bottom w:val="none" w:color="FFFFFF" w:sz="0"/>
              <w:right w:val="none" w:color="FFFFFF" w:sz="0"/>
            </w:tcBorders>
          </w:tcPr>
          <w:p>
            <w:pPr>
              <w:bidi/>
              <w:spacing w:after="40"/>
              <w:jc w:val="start"/>
            </w:pPr>
            <w:r>
              <w:rPr>
                <w:rFonts w:ascii="David" w:cs="David" w:eastAsia="David" w:hAnsi="David"/>
                <w:b/>
                <w:bCs/>
                <w:sz w:val="24"/>
                <w:szCs w:val="24"/>
                <w:rtl/>
              </w:rPr>
              <w:t xml:space="preserve">____________ (להלן: "הבעל")</w:t>
            </w:r>
          </w:p>
          <w:p>
            <w:pPr>
              <w:bidi/>
              <w:spacing w:after="40"/>
              <w:jc w:val="start"/>
            </w:pPr>
            <w:r>
              <w:rPr>
                <w:rFonts w:ascii="David" w:cs="David" w:eastAsia="David" w:hAnsi="David"/>
                <w:sz w:val="24"/>
                <w:szCs w:val="24"/>
                <w:rtl/>
              </w:rPr>
              <w:t xml:space="preserve">באמצעות ב"כ עו"ד צפנת חן כהן</w:t>
            </w:r>
          </w:p>
        </w:tc>
      </w:tr>
    </w:tbl>
    <w:p>
      <w:pPr>
        <w:bidi/>
        <w:spacing w:after="240" w:before="360" w:line="360" w:lineRule="auto"/>
        <w:jc w:val="center"/>
      </w:pPr>
      <w:r>
        <w:rPr>
          <w:rFonts w:ascii="David" w:cs="David" w:eastAsia="David" w:hAnsi="David"/>
          <w:b/>
          <w:bCs/>
          <w:sz w:val="28"/>
          <w:szCs w:val="28"/>
          <w:u w:val="single"/>
          <w:rtl/>
        </w:rPr>
        <w:t xml:space="preserve">תגובת האישה לבקשת הבעל למתן הוראות, לביטול צו ההגנה ולבחינת נחיצות הדיון הקבוע</w:t>
      </w:r>
    </w:p>
    <w:p>
      <w:pPr>
        <w:bidi/>
        <w:spacing w:after="120" w:line="360" w:lineRule="auto"/>
        <w:jc w:val="both"/>
      </w:pPr>
      <w:r>
        <w:rPr>
          <w:rFonts w:ascii="David" w:cs="David" w:eastAsia="David" w:hAnsi="David"/>
          <w:sz w:val="24"/>
          <w:szCs w:val="24"/>
          <w:rtl/>
        </w:rPr>
        <w:t xml:space="preserve">בהתאם להחלטת בית הדין הנכבד, מתכבדת האישה להגיש את תגובתה לבקשה הדחופה שהגיש הבעל ביום __.10.2026 (להלן: "</w:t>
      </w:r>
      <w:r>
        <w:rPr>
          <w:rFonts w:ascii="David" w:cs="David" w:eastAsia="David" w:hAnsi="David"/>
          <w:b/>
          <w:bCs/>
          <w:sz w:val="24"/>
          <w:szCs w:val="24"/>
          <w:rtl/>
        </w:rPr>
        <w:t xml:space="preserve">הבקשה</w:t>
      </w:r>
      <w:r>
        <w:rPr>
          <w:rFonts w:ascii="David" w:cs="David" w:eastAsia="David" w:hAnsi="David"/>
          <w:sz w:val="24"/>
          <w:szCs w:val="24"/>
          <w:rtl/>
        </w:rPr>
        <w:t xml:space="preserve">"), כדלקמן:</w:t>
      </w:r>
    </w:p>
    <w:p>
      <w:pPr>
        <w:bidi/>
        <w:spacing w:after="120" w:before="240" w:line="360" w:lineRule="auto"/>
        <w:jc w:val="start"/>
      </w:pPr>
      <w:r>
        <w:rPr>
          <w:rFonts w:ascii="David" w:cs="David" w:eastAsia="David" w:hAnsi="David"/>
          <w:b/>
          <w:bCs/>
          <w:sz w:val="24"/>
          <w:szCs w:val="24"/>
          <w:u w:val="single"/>
          <w:rtl/>
        </w:rPr>
        <w:t xml:space="preserve">א. תמצית עמדת האישה</w:t>
      </w:r>
    </w:p>
    <w:p>
      <w:pPr>
        <w:pStyle w:val="ListParagraph"/>
        <w:numPr>
          <w:ilvl w:val="0"/>
          <w:numId w:val="2"/>
        </w:numPr>
        <w:bidi/>
        <w:spacing w:after="120" w:line="360" w:lineRule="auto"/>
        <w:jc w:val="both"/>
      </w:pPr>
      <w:r>
        <w:rPr>
          <w:rFonts w:ascii="David" w:cs="David" w:eastAsia="David" w:hAnsi="David"/>
          <w:sz w:val="24"/>
          <w:szCs w:val="24"/>
          <w:rtl/>
        </w:rPr>
        <w:t xml:space="preserve">האישה מאשרת כי הצדדים שוחחו ביניהם, וכי היא מבקשת, בכנות ובלב שלם, לבחון אפשרות ממשית לשיקום מערכת היחסים ולשלום בית.</w:t>
      </w:r>
    </w:p>
    <w:p>
      <w:pPr>
        <w:pStyle w:val="ListParagraph"/>
        <w:numPr>
          <w:ilvl w:val="0"/>
          <w:numId w:val="2"/>
        </w:numPr>
        <w:bidi/>
        <w:spacing w:after="120" w:line="360" w:lineRule="auto"/>
        <w:jc w:val="both"/>
      </w:pPr>
      <w:r>
        <w:rPr>
          <w:rFonts w:ascii="David" w:cs="David" w:eastAsia="David" w:hAnsi="David"/>
          <w:sz w:val="24"/>
          <w:szCs w:val="24"/>
          <w:rtl/>
        </w:rPr>
        <w:t xml:space="preserve">יחד עם זאת, שלום בית של אמת אינו נבנה על הודעה חפוזה ועל ביטול גורף של ההסדרים הקיימים. הוא נבנה בתהליך מובנה, מדורג ומפוקח, הנשען על מחויבות הדדית של שני הצדדים. לפיכך מציעה האישה מתווה ברור לתקופת ניסיון, המפורט בפרק ג' להלן, ומבקשת כי בית הדין הנכבד ייתן לו תוקף של החלטה.</w:t>
      </w:r>
    </w:p>
    <w:p>
      <w:pPr>
        <w:pStyle w:val="ListParagraph"/>
        <w:numPr>
          <w:ilvl w:val="0"/>
          <w:numId w:val="2"/>
        </w:numPr>
        <w:bidi/>
        <w:spacing w:after="120" w:line="360" w:lineRule="auto"/>
        <w:jc w:val="both"/>
      </w:pPr>
      <w:r>
        <w:rPr>
          <w:rFonts w:ascii="David" w:cs="David" w:eastAsia="David" w:hAnsi="David"/>
          <w:sz w:val="24"/>
          <w:szCs w:val="24"/>
          <w:rtl/>
        </w:rPr>
        <w:t xml:space="preserve">לצד זאת, האישה מתנגדת לבקשה לבטל את חיוב המזונות הזמניים, שהוכנסה לסעיף 18 לבקשה בתוך סוגריים. כפי שיפורט, בקשה זו אינה מתיישבת עם ההצהרה על רצון לשלום בית, ודינה להידחות.</w:t>
      </w:r>
    </w:p>
    <w:p>
      <w:pPr>
        <w:bidi/>
        <w:spacing w:after="120" w:before="240" w:line="360" w:lineRule="auto"/>
        <w:jc w:val="start"/>
      </w:pPr>
      <w:r>
        <w:rPr>
          <w:rFonts w:ascii="David" w:cs="David" w:eastAsia="David" w:hAnsi="David"/>
          <w:b/>
          <w:bCs/>
          <w:sz w:val="24"/>
          <w:szCs w:val="24"/>
          <w:u w:val="single"/>
          <w:rtl/>
        </w:rPr>
        <w:t xml:space="preserve">ב. התייחסות לטענות הבעל</w:t>
      </w:r>
    </w:p>
    <w:p>
      <w:pPr>
        <w:bidi/>
        <w:spacing w:after="120" w:line="360" w:lineRule="auto"/>
        <w:jc w:val="start"/>
      </w:pPr>
      <w:r>
        <w:rPr>
          <w:rFonts w:ascii="David" w:cs="David" w:eastAsia="David" w:hAnsi="David"/>
          <w:b/>
          <w:bCs/>
          <w:sz w:val="24"/>
          <w:szCs w:val="24"/>
          <w:rtl/>
        </w:rPr>
        <w:t xml:space="preserve">לטענה כי לא התקבלה עמדת האישה (סעיפים 3 ו-7 לבקשה)</w:t>
      </w:r>
    </w:p>
    <w:p>
      <w:pPr>
        <w:pStyle w:val="ListParagraph"/>
        <w:numPr>
          <w:ilvl w:val="0"/>
          <w:numId w:val="2"/>
        </w:numPr>
        <w:bidi/>
        <w:spacing w:after="120" w:line="360" w:lineRule="auto"/>
        <w:jc w:val="both"/>
      </w:pPr>
      <w:r>
        <w:rPr>
          <w:rFonts w:ascii="David" w:cs="David" w:eastAsia="David" w:hAnsi="David"/>
          <w:sz w:val="24"/>
          <w:szCs w:val="24"/>
          <w:rtl/>
        </w:rPr>
        <w:t xml:space="preserve">עמדת האישה מוגשת בתגובה זו, במועד שקבע בית הדין הנכבד. לא היה מקום לטענה כי "תמוהה" התנהלות באת כוח האישה. האישה אינה נדרשת למסור את עמדתה בהליך תלוי ועומד באמצעות פניות בין עורכי הדין בטרם הגיע המועד שנקבע לכך, ואין בכך כדי ללמד דבר על כוונותיה.</w:t>
      </w:r>
    </w:p>
    <w:p>
      <w:pPr>
        <w:bidi/>
        <w:spacing w:after="120" w:line="360" w:lineRule="auto"/>
        <w:jc w:val="start"/>
      </w:pPr>
      <w:r>
        <w:rPr>
          <w:rFonts w:ascii="David" w:cs="David" w:eastAsia="David" w:hAnsi="David"/>
          <w:b/>
          <w:bCs/>
          <w:sz w:val="24"/>
          <w:szCs w:val="24"/>
          <w:rtl/>
        </w:rPr>
        <w:t xml:space="preserve">לבקשה להורות לאישה להגיש הודעה אישית הנתמכת בתצהיר (סעיפים 9 ו-15א לבקשה)</w:t>
      </w:r>
    </w:p>
    <w:p>
      <w:pPr>
        <w:pStyle w:val="ListParagraph"/>
        <w:numPr>
          <w:ilvl w:val="0"/>
          <w:numId w:val="2"/>
        </w:numPr>
        <w:bidi/>
        <w:spacing w:after="120" w:line="360" w:lineRule="auto"/>
        <w:jc w:val="both"/>
      </w:pPr>
      <w:r>
        <w:rPr>
          <w:rFonts w:ascii="David" w:cs="David" w:eastAsia="David" w:hAnsi="David"/>
          <w:sz w:val="24"/>
          <w:szCs w:val="24"/>
          <w:rtl/>
        </w:rPr>
        <w:t xml:space="preserve">הבקשה מיותרת ודינה להידחות. עמדת האישה מובאת במלואה בתגובה זו, המוגשת על דעתה ובשמה, והאישה תשמח להציג את עמדתה גם באופן אישי בפני בית הדין הנכבד בדיון. אין כל הצדקה להטיל על האישה, ורק עליה, חובה להצהיר בשבועה על רצונה לשלום בית, כאשר הבעל עצמו לא צירף תצהיר לבקשתו.</w:t>
      </w:r>
    </w:p>
    <w:p>
      <w:pPr>
        <w:bidi/>
        <w:spacing w:after="120" w:line="360" w:lineRule="auto"/>
        <w:jc w:val="start"/>
      </w:pPr>
      <w:r>
        <w:rPr>
          <w:rFonts w:ascii="David" w:cs="David" w:eastAsia="David" w:hAnsi="David"/>
          <w:b/>
          <w:bCs/>
          <w:sz w:val="24"/>
          <w:szCs w:val="24"/>
          <w:rtl/>
        </w:rPr>
        <w:t xml:space="preserve">לבקשה לבטל את הדיון הקבוע או לדחותו (סעיפים 10 ו-15ב לבקשה)</w:t>
      </w:r>
    </w:p>
    <w:p>
      <w:pPr>
        <w:pStyle w:val="ListParagraph"/>
        <w:numPr>
          <w:ilvl w:val="0"/>
          <w:numId w:val="2"/>
        </w:numPr>
        <w:bidi/>
        <w:spacing w:after="120" w:line="360" w:lineRule="auto"/>
        <w:jc w:val="both"/>
      </w:pPr>
      <w:r>
        <w:rPr>
          <w:rFonts w:ascii="David" w:cs="David" w:eastAsia="David" w:hAnsi="David"/>
          <w:sz w:val="24"/>
          <w:szCs w:val="24"/>
          <w:rtl/>
        </w:rPr>
        <w:t xml:space="preserve">דווקא משום שהצדדים מבקשים לבחון שלום בית, יש חשיבות לקיום הדיון. הדיון הוא המקום שבו יוכל בית הדין הנכבד לשמוע את הצדדים, לסייע להם להגיע להבנות ולקבוע מסגרת ברורה לתקופת הניסיון. ביטול הדיון בלא מסגרת מוסכמת ומעוגנת עלול להותיר את הצדדים בלא כלים ובלא הגנה, ולהביא להחרפת המחלוקות במקום לפתרונן.</w:t>
      </w:r>
    </w:p>
    <w:p>
      <w:pPr>
        <w:pStyle w:val="ListParagraph"/>
        <w:numPr>
          <w:ilvl w:val="0"/>
          <w:numId w:val="2"/>
        </w:numPr>
        <w:bidi/>
        <w:spacing w:after="120" w:line="360" w:lineRule="auto"/>
        <w:jc w:val="both"/>
      </w:pPr>
      <w:r>
        <w:rPr>
          <w:rFonts w:ascii="David" w:cs="David" w:eastAsia="David" w:hAnsi="David"/>
          <w:sz w:val="24"/>
          <w:szCs w:val="24"/>
          <w:rtl/>
        </w:rPr>
        <w:t xml:space="preserve">לפיכך, האישה תסכים לביטול הדיון רק אם הבעל יודיע בכתב על הסכמתו למתווה המפורט בפרק ג' להלן, ובית הדין הנכבד ייתן לו תוקף של החלטה. ככל שלא תושג הסכמה כאמור, האישה עומדת על קיום הדיון במועדו.</w:t>
      </w:r>
    </w:p>
    <w:p>
      <w:pPr>
        <w:bidi/>
        <w:spacing w:after="120" w:line="360" w:lineRule="auto"/>
        <w:jc w:val="start"/>
      </w:pPr>
      <w:r>
        <w:rPr>
          <w:rFonts w:ascii="David" w:cs="David" w:eastAsia="David" w:hAnsi="David"/>
          <w:b/>
          <w:bCs/>
          <w:sz w:val="24"/>
          <w:szCs w:val="24"/>
          <w:rtl/>
        </w:rPr>
        <w:t xml:space="preserve">לבקשה לבטל את צו ההגנה ולאפשר את חזרת הבעל לבית (סעיפים 11, 12, 16 ו-17 לבקשה)</w:t>
      </w:r>
    </w:p>
    <w:p>
      <w:pPr>
        <w:pStyle w:val="ListParagraph"/>
        <w:numPr>
          <w:ilvl w:val="0"/>
          <w:numId w:val="2"/>
        </w:numPr>
        <w:bidi/>
        <w:spacing w:after="120" w:line="360" w:lineRule="auto"/>
        <w:jc w:val="both"/>
      </w:pPr>
      <w:r>
        <w:rPr>
          <w:rFonts w:ascii="David" w:cs="David" w:eastAsia="David" w:hAnsi="David"/>
          <w:sz w:val="24"/>
          <w:szCs w:val="24"/>
          <w:rtl/>
        </w:rPr>
        <w:t xml:space="preserve">צו ההגנה ניתן על ידי בית הדין הנכבד לאחר שהוצגו בפניו נסיבות שהצדיקו את מתן הצו. הצו אינו עניין טכני, והוא נועד להבטיח את שלומה וביטחונה של האישה.</w:t>
      </w:r>
    </w:p>
    <w:p>
      <w:pPr>
        <w:pStyle w:val="ListParagraph"/>
        <w:numPr>
          <w:ilvl w:val="0"/>
          <w:numId w:val="2"/>
        </w:numPr>
        <w:bidi/>
        <w:spacing w:after="120" w:line="360" w:lineRule="auto"/>
        <w:jc w:val="both"/>
      </w:pPr>
      <w:r>
        <w:rPr>
          <w:rFonts w:ascii="David" w:cs="David" w:eastAsia="David" w:hAnsi="David"/>
          <w:sz w:val="24"/>
          <w:szCs w:val="24"/>
          <w:rtl/>
        </w:rPr>
        <w:t xml:space="preserve">אף על פי כן, ומתוך רצון כן לתת לשלום הבית הזדמנות אמיתית, האישה מסכימה לביטול צו ההגנה ולחזרת הבעל לבית, אך זאת </w:t>
      </w:r>
      <w:r>
        <w:rPr>
          <w:rFonts w:ascii="David" w:cs="David" w:eastAsia="David" w:hAnsi="David"/>
          <w:b/>
          <w:bCs/>
          <w:sz w:val="24"/>
          <w:szCs w:val="24"/>
          <w:rtl/>
        </w:rPr>
        <w:t xml:space="preserve">כחלק בלתי נפרד מהמתווה המפורט בפרק ג' להלן ובכפוף לכל תנאיו</w:t>
      </w:r>
      <w:r>
        <w:rPr>
          <w:rFonts w:ascii="David" w:cs="David" w:eastAsia="David" w:hAnsi="David"/>
          <w:sz w:val="24"/>
          <w:szCs w:val="24"/>
          <w:rtl/>
        </w:rPr>
        <w:t xml:space="preserve">, ובכלל זה עיגונו בהחלטה שיפוטית.</w:t>
      </w:r>
    </w:p>
    <w:p>
      <w:pPr>
        <w:pStyle w:val="ListParagraph"/>
        <w:numPr>
          <w:ilvl w:val="0"/>
          <w:numId w:val="2"/>
        </w:numPr>
        <w:bidi/>
        <w:spacing w:after="120" w:line="360" w:lineRule="auto"/>
        <w:jc w:val="both"/>
      </w:pPr>
      <w:r>
        <w:rPr>
          <w:rFonts w:ascii="David" w:cs="David" w:eastAsia="David" w:hAnsi="David"/>
          <w:sz w:val="24"/>
          <w:szCs w:val="24"/>
          <w:rtl/>
        </w:rPr>
        <w:t xml:space="preserve">יובהר כי אין בהסכמת האישה לביטול הצו משום הודאה כי הנסיבות שבבסיסו לא התקיימו, ואין בה כדי לגרוע מזכותה לפנות לבית הדין הנכבד בבקשה למתן צו חדש בכל עת שיהיה בכך צורך.</w:t>
      </w:r>
    </w:p>
    <w:p>
      <w:pPr>
        <w:bidi/>
        <w:spacing w:after="120" w:line="360" w:lineRule="auto"/>
        <w:jc w:val="start"/>
      </w:pPr>
      <w:r>
        <w:rPr>
          <w:rFonts w:ascii="David" w:cs="David" w:eastAsia="David" w:hAnsi="David"/>
          <w:b/>
          <w:bCs/>
          <w:sz w:val="24"/>
          <w:szCs w:val="24"/>
          <w:rtl/>
        </w:rPr>
        <w:t xml:space="preserve">לבקשה לבטל את חיוב המזונות הזמניים (סעיף 18 לבקשה)</w:t>
      </w:r>
    </w:p>
    <w:p>
      <w:pPr>
        <w:pStyle w:val="ListParagraph"/>
        <w:numPr>
          <w:ilvl w:val="0"/>
          <w:numId w:val="2"/>
        </w:numPr>
        <w:bidi/>
        <w:spacing w:after="120" w:line="360" w:lineRule="auto"/>
        <w:jc w:val="both"/>
      </w:pPr>
      <w:r>
        <w:rPr>
          <w:rFonts w:ascii="David" w:cs="David" w:eastAsia="David" w:hAnsi="David"/>
          <w:sz w:val="24"/>
          <w:szCs w:val="24"/>
          <w:rtl/>
        </w:rPr>
        <w:t xml:space="preserve">האישה מתנגדת בתוקף לבקשה זו, ומבקשת לדחותה על הסף, מן הטעמים הבאים:</w:t>
      </w:r>
    </w:p>
    <w:p>
      <w:pPr>
        <w:pStyle w:val="ListParagraph"/>
        <w:numPr>
          <w:ilvl w:val="0"/>
          <w:numId w:val="3"/>
        </w:numPr>
        <w:bidi/>
        <w:spacing w:after="120" w:line="360" w:lineRule="auto"/>
        <w:jc w:val="both"/>
      </w:pPr>
      <w:r>
        <w:rPr>
          <w:rFonts w:ascii="David" w:cs="David" w:eastAsia="David" w:hAnsi="David"/>
          <w:b/>
          <w:bCs/>
          <w:sz w:val="24"/>
          <w:szCs w:val="24"/>
          <w:rtl/>
        </w:rPr>
        <w:t xml:space="preserve">ראשית</w:t>
      </w:r>
      <w:r>
        <w:rPr>
          <w:rFonts w:ascii="David" w:cs="David" w:eastAsia="David" w:hAnsi="David"/>
          <w:sz w:val="24"/>
          <w:szCs w:val="24"/>
          <w:rtl/>
        </w:rPr>
        <w:t xml:space="preserve">, ביטול מזונות הוא סעד מהותי, המחייב בקשה מסודרת, מנומקת ונתמכת בראיות. הוא אינו סעד נלווה שניתן להכניס בתוך סוגריים בסעיף "הוראות נוספות", בבקשה שעניינה הצהרה על רצון לשלום בית. הבקשה אינה כוללת ולו נימוק אחד לביטול החיוב.</w:t>
      </w:r>
    </w:p>
    <w:p>
      <w:pPr>
        <w:pStyle w:val="ListParagraph"/>
        <w:numPr>
          <w:ilvl w:val="0"/>
          <w:numId w:val="3"/>
        </w:numPr>
        <w:bidi/>
        <w:spacing w:after="120" w:line="360" w:lineRule="auto"/>
        <w:jc w:val="both"/>
      </w:pPr>
      <w:r>
        <w:rPr>
          <w:rFonts w:ascii="David" w:cs="David" w:eastAsia="David" w:hAnsi="David"/>
          <w:b/>
          <w:bCs/>
          <w:sz w:val="24"/>
          <w:szCs w:val="24"/>
          <w:rtl/>
        </w:rPr>
        <w:t xml:space="preserve">שנית</w:t>
      </w:r>
      <w:r>
        <w:rPr>
          <w:rFonts w:ascii="David" w:cs="David" w:eastAsia="David" w:hAnsi="David"/>
          <w:sz w:val="24"/>
          <w:szCs w:val="24"/>
          <w:rtl/>
        </w:rPr>
        <w:t xml:space="preserve">, הבקשה סותרת את ההצהרה שבבסיסה. הבעל מצהיר על רצון לשקם את הנישואין, ובאותה נשימה מבקש לשלול מהאישה את מזונותיה. שילוב זה מעורר חשש כי ההצהרה על שלום בית נועדה, ולו בחלקה, לשמש כלי לפגיעה במזונות האישה.</w:t>
      </w:r>
    </w:p>
    <w:p>
      <w:pPr>
        <w:pStyle w:val="ListParagraph"/>
        <w:numPr>
          <w:ilvl w:val="0"/>
          <w:numId w:val="3"/>
        </w:numPr>
        <w:bidi/>
        <w:spacing w:after="120" w:line="360" w:lineRule="auto"/>
        <w:jc w:val="both"/>
      </w:pPr>
      <w:r>
        <w:rPr>
          <w:rFonts w:ascii="David" w:cs="David" w:eastAsia="David" w:hAnsi="David"/>
          <w:b/>
          <w:bCs/>
          <w:sz w:val="24"/>
          <w:szCs w:val="24"/>
          <w:rtl/>
        </w:rPr>
        <w:t xml:space="preserve">שלישית</w:t>
      </w:r>
      <w:r>
        <w:rPr>
          <w:rFonts w:ascii="David" w:cs="David" w:eastAsia="David" w:hAnsi="David"/>
          <w:sz w:val="24"/>
          <w:szCs w:val="24"/>
          <w:rtl/>
        </w:rPr>
        <w:t xml:space="preserve">, חיוב הבעל במזונות אשתו נובע מעצם הנישואין, ועומד בעינו כל עוד האישה אינה מסרבת לחיות עמו. אישה המבקשת שלום בית, וכך בדיוק טוען הבעל עצמו בבקשתו, זכאית למזונות. אין אפוא כל עילה לביטול החיוב.</w:t>
      </w:r>
    </w:p>
    <w:p>
      <w:pPr>
        <w:pStyle w:val="ListParagraph"/>
        <w:numPr>
          <w:ilvl w:val="0"/>
          <w:numId w:val="3"/>
        </w:numPr>
        <w:bidi/>
        <w:spacing w:after="120" w:line="360" w:lineRule="auto"/>
        <w:jc w:val="both"/>
      </w:pPr>
      <w:r>
        <w:rPr>
          <w:rFonts w:ascii="David" w:cs="David" w:eastAsia="David" w:hAnsi="David"/>
          <w:b/>
          <w:bCs/>
          <w:sz w:val="24"/>
          <w:szCs w:val="24"/>
          <w:rtl/>
        </w:rPr>
        <w:t xml:space="preserve">רביעית</w:t>
      </w:r>
      <w:r>
        <w:rPr>
          <w:rFonts w:ascii="David" w:cs="David" w:eastAsia="David" w:hAnsi="David"/>
          <w:sz w:val="24"/>
          <w:szCs w:val="24"/>
          <w:rtl/>
        </w:rPr>
        <w:t xml:space="preserve">, שיקום אמיתי של מערכת היחסים מחייב יציבות כלכלית וביטחון. ביטול המזונות בפתח תקופת הניסיון ייצור תלות ולחץ, ויפגע בסיכויי ההצלחה של התהליך שהבעל עצמו מבקש לקדם.</w:t>
      </w:r>
    </w:p>
    <w:p>
      <w:pPr>
        <w:bidi/>
        <w:spacing w:after="120" w:before="240" w:line="360" w:lineRule="auto"/>
        <w:jc w:val="start"/>
      </w:pPr>
      <w:r>
        <w:rPr>
          <w:rFonts w:ascii="David" w:cs="David" w:eastAsia="David" w:hAnsi="David"/>
          <w:b/>
          <w:bCs/>
          <w:sz w:val="24"/>
          <w:szCs w:val="24"/>
          <w:u w:val="single"/>
          <w:rtl/>
        </w:rPr>
        <w:t xml:space="preserve">ג. המתווה המוצע לתקופת הניסיון</w:t>
      </w:r>
    </w:p>
    <w:p>
      <w:pPr>
        <w:pStyle w:val="ListParagraph"/>
        <w:numPr>
          <w:ilvl w:val="0"/>
          <w:numId w:val="2"/>
        </w:numPr>
        <w:bidi/>
        <w:spacing w:after="120" w:line="360" w:lineRule="auto"/>
        <w:jc w:val="both"/>
      </w:pPr>
      <w:r>
        <w:rPr>
          <w:rFonts w:ascii="David" w:cs="David" w:eastAsia="David" w:hAnsi="David"/>
          <w:sz w:val="24"/>
          <w:szCs w:val="24"/>
          <w:rtl/>
        </w:rPr>
        <w:t xml:space="preserve">האישה מציעה כי בית הדין הנכבד ייתן תוקף של החלטה למתווה הבא:</w:t>
      </w:r>
    </w:p>
    <w:p>
      <w:pPr>
        <w:pStyle w:val="ListParagraph"/>
        <w:numPr>
          <w:ilvl w:val="0"/>
          <w:numId w:val="4"/>
        </w:numPr>
        <w:bidi/>
        <w:spacing w:after="120" w:line="360" w:lineRule="auto"/>
        <w:jc w:val="both"/>
      </w:pPr>
      <w:r>
        <w:rPr>
          <w:rFonts w:ascii="David" w:cs="David" w:eastAsia="David" w:hAnsi="David"/>
          <w:b/>
          <w:bCs/>
          <w:sz w:val="24"/>
          <w:szCs w:val="24"/>
          <w:rtl/>
        </w:rPr>
        <w:t xml:space="preserve">תקופת ניסיון:</w:t>
      </w:r>
      <w:r>
        <w:rPr>
          <w:rFonts w:ascii="David" w:cs="David" w:eastAsia="David" w:hAnsi="David"/>
          <w:sz w:val="24"/>
          <w:szCs w:val="24"/>
          <w:rtl/>
        </w:rPr>
        <w:t xml:space="preserve"> הצדדים יקיימו תקופת ניסיון לשיקום חיי הנישואין למשך שישה חודשים לפחות, החל ממועד מתן ההחלטה.</w:t>
      </w:r>
    </w:p>
    <w:p>
      <w:pPr>
        <w:pStyle w:val="ListParagraph"/>
        <w:numPr>
          <w:ilvl w:val="0"/>
          <w:numId w:val="4"/>
        </w:numPr>
        <w:bidi/>
        <w:spacing w:after="120" w:line="360" w:lineRule="auto"/>
        <w:jc w:val="both"/>
      </w:pPr>
      <w:r>
        <w:rPr>
          <w:rFonts w:ascii="David" w:cs="David" w:eastAsia="David" w:hAnsi="David"/>
          <w:b/>
          <w:bCs/>
          <w:sz w:val="24"/>
          <w:szCs w:val="24"/>
          <w:rtl/>
        </w:rPr>
        <w:t xml:space="preserve">טיפול זוגי:</w:t>
      </w:r>
      <w:r>
        <w:rPr>
          <w:rFonts w:ascii="David" w:cs="David" w:eastAsia="David" w:hAnsi="David"/>
          <w:sz w:val="24"/>
          <w:szCs w:val="24"/>
          <w:rtl/>
        </w:rPr>
        <w:t xml:space="preserve"> הצדדים יפנו לטיפול זוגי אצל מטפל מוסמך מתוך רשימת המטפלים המוכרים על ידי בית הדין הנכבד. המטפל ייבחר בהסכמה בתוך 14 ימים ממועד ההחלטה, ובהיעדר הסכמה ימונה על ידי בית הדין. הצדדים יתמידו בטיפול בתדירות שימליץ עליה המטפל. עלות הטיפול תחול על הצדדים בחלקים שווים, אלא אם יורה בית הדין הנכבד אחרת.</w:t>
      </w:r>
    </w:p>
    <w:p>
      <w:pPr>
        <w:pStyle w:val="ListParagraph"/>
        <w:numPr>
          <w:ilvl w:val="0"/>
          <w:numId w:val="4"/>
        </w:numPr>
        <w:bidi/>
        <w:spacing w:after="120" w:line="360" w:lineRule="auto"/>
        <w:jc w:val="both"/>
      </w:pPr>
      <w:r>
        <w:rPr>
          <w:rFonts w:ascii="David" w:cs="David" w:eastAsia="David" w:hAnsi="David"/>
          <w:b/>
          <w:bCs/>
          <w:sz w:val="24"/>
          <w:szCs w:val="24"/>
          <w:rtl/>
        </w:rPr>
        <w:t xml:space="preserve">מזונות:</w:t>
      </w:r>
      <w:r>
        <w:rPr>
          <w:rFonts w:ascii="David" w:cs="David" w:eastAsia="David" w:hAnsi="David"/>
          <w:sz w:val="24"/>
          <w:szCs w:val="24"/>
          <w:rtl/>
        </w:rPr>
        <w:t xml:space="preserve"> במהלך תקופת הניסיון ימשיך הבעל לשלם את המזונות הזמניים במלואם ובמועדם, בהתאם להחלטה השיפוטית שניתנה ובאופן שבו שולמו עד כה. חזרת הבעל לבית לא תהווה כשלעצמה עילה להפחתת המזונות או לביטולם, וכל טענה בעניין זה תתברר רק בבקשה מסודרת, לאחר שמיעת עמדת האישה.</w:t>
      </w:r>
    </w:p>
    <w:p>
      <w:pPr>
        <w:pStyle w:val="ListParagraph"/>
        <w:numPr>
          <w:ilvl w:val="0"/>
          <w:numId w:val="4"/>
        </w:numPr>
        <w:bidi/>
        <w:spacing w:after="120" w:line="360" w:lineRule="auto"/>
        <w:jc w:val="both"/>
      </w:pPr>
      <w:r>
        <w:rPr>
          <w:rFonts w:ascii="David" w:cs="David" w:eastAsia="David" w:hAnsi="David"/>
          <w:b/>
          <w:bCs/>
          <w:sz w:val="24"/>
          <w:szCs w:val="24"/>
          <w:rtl/>
        </w:rPr>
        <w:t xml:space="preserve">שמירה על ההסדרים הקיימים:</w:t>
      </w:r>
      <w:r>
        <w:rPr>
          <w:rFonts w:ascii="David" w:cs="David" w:eastAsia="David" w:hAnsi="David"/>
          <w:sz w:val="24"/>
          <w:szCs w:val="24"/>
          <w:rtl/>
        </w:rPr>
        <w:t xml:space="preserve"> יתר התנאים וההסדרים הקיימים יעמדו בתוקפם, למעט צו ההגנה.</w:t>
      </w:r>
    </w:p>
    <w:p>
      <w:pPr>
        <w:pStyle w:val="ListParagraph"/>
        <w:numPr>
          <w:ilvl w:val="0"/>
          <w:numId w:val="4"/>
        </w:numPr>
        <w:bidi/>
        <w:spacing w:after="120" w:line="360" w:lineRule="auto"/>
        <w:jc w:val="both"/>
      </w:pPr>
      <w:r>
        <w:rPr>
          <w:rFonts w:ascii="David" w:cs="David" w:eastAsia="David" w:hAnsi="David"/>
          <w:b/>
          <w:bCs/>
          <w:sz w:val="24"/>
          <w:szCs w:val="24"/>
          <w:rtl/>
        </w:rPr>
        <w:t xml:space="preserve">צו ההגנה וחזרת הבעל לבית:</w:t>
      </w:r>
      <w:r>
        <w:rPr>
          <w:rFonts w:ascii="David" w:cs="David" w:eastAsia="David" w:hAnsi="David"/>
          <w:sz w:val="24"/>
          <w:szCs w:val="24"/>
          <w:rtl/>
        </w:rPr>
        <w:t xml:space="preserve"> עם מתן ההחלטה יבוטל צו ההגנה, והבעל יוכל לשוב לבית המגורים המשותף בד בבד עם תחילת הטיפול הזוגי.</w:t>
      </w:r>
    </w:p>
    <w:p>
      <w:pPr>
        <w:pStyle w:val="ListParagraph"/>
        <w:numPr>
          <w:ilvl w:val="0"/>
          <w:numId w:val="4"/>
        </w:numPr>
        <w:bidi/>
        <w:spacing w:after="120" w:line="360" w:lineRule="auto"/>
        <w:jc w:val="both"/>
      </w:pPr>
      <w:r>
        <w:rPr>
          <w:rFonts w:ascii="David" w:cs="David" w:eastAsia="David" w:hAnsi="David"/>
          <w:b/>
          <w:bCs/>
          <w:sz w:val="24"/>
          <w:szCs w:val="24"/>
          <w:rtl/>
        </w:rPr>
        <w:t xml:space="preserve">התחייבות הדדית:</w:t>
      </w:r>
      <w:r>
        <w:rPr>
          <w:rFonts w:ascii="David" w:cs="David" w:eastAsia="David" w:hAnsi="David"/>
          <w:sz w:val="24"/>
          <w:szCs w:val="24"/>
          <w:rtl/>
        </w:rPr>
        <w:t xml:space="preserve"> כל אחד מהצדדים יתחייב להימנע מכל אלימות, פיזית, מילולית, נפשית או כלכלית, ומכל איום או הטרדה כלפי הצד השני.</w:t>
      </w:r>
    </w:p>
    <w:p>
      <w:pPr>
        <w:pStyle w:val="ListParagraph"/>
        <w:numPr>
          <w:ilvl w:val="0"/>
          <w:numId w:val="4"/>
        </w:numPr>
        <w:bidi/>
        <w:spacing w:after="120" w:line="360" w:lineRule="auto"/>
        <w:jc w:val="both"/>
      </w:pPr>
      <w:r>
        <w:rPr>
          <w:rFonts w:ascii="David" w:cs="David" w:eastAsia="David" w:hAnsi="David"/>
          <w:b/>
          <w:bCs/>
          <w:sz w:val="24"/>
          <w:szCs w:val="24"/>
          <w:rtl/>
        </w:rPr>
        <w:t xml:space="preserve">מנגנון הגנה:</w:t>
      </w:r>
      <w:r>
        <w:rPr>
          <w:rFonts w:ascii="David" w:cs="David" w:eastAsia="David" w:hAnsi="David"/>
          <w:sz w:val="24"/>
          <w:szCs w:val="24"/>
          <w:rtl/>
        </w:rPr>
        <w:t xml:space="preserve"> בכל מקרה של הפרת ההתחייבות האמורה, תהיה האישה רשאית לפנות לבית הדין הנכבד בבקשה דחופה, ובית הדין ידון בבקשה לחידוש צו ההגנה בדחיפות, ובמידת הצורך גם במעמד צד אחד.</w:t>
      </w:r>
    </w:p>
    <w:p>
      <w:pPr>
        <w:pStyle w:val="ListParagraph"/>
        <w:numPr>
          <w:ilvl w:val="0"/>
          <w:numId w:val="4"/>
        </w:numPr>
        <w:bidi/>
        <w:spacing w:after="120" w:line="360" w:lineRule="auto"/>
        <w:jc w:val="both"/>
      </w:pPr>
      <w:r>
        <w:rPr>
          <w:rFonts w:ascii="David" w:cs="David" w:eastAsia="David" w:hAnsi="David"/>
          <w:b/>
          <w:bCs/>
          <w:sz w:val="24"/>
          <w:szCs w:val="24"/>
          <w:rtl/>
        </w:rPr>
        <w:t xml:space="preserve">דיווח:</w:t>
      </w:r>
      <w:r>
        <w:rPr>
          <w:rFonts w:ascii="David" w:cs="David" w:eastAsia="David" w:hAnsi="David"/>
          <w:sz w:val="24"/>
          <w:szCs w:val="24"/>
          <w:rtl/>
        </w:rPr>
        <w:t xml:space="preserve"> בתום תקופת הניסיון יגישו הצדדים הודעת עדכון לבית הדין הנכבד, ובית הדין יורה על המשך ההליכים בהתאם.</w:t>
      </w:r>
    </w:p>
    <w:p>
      <w:pPr>
        <w:pStyle w:val="ListParagraph"/>
        <w:numPr>
          <w:ilvl w:val="0"/>
          <w:numId w:val="4"/>
        </w:numPr>
        <w:bidi/>
        <w:spacing w:after="120" w:line="360" w:lineRule="auto"/>
        <w:jc w:val="both"/>
      </w:pPr>
      <w:r>
        <w:rPr>
          <w:rFonts w:ascii="David" w:cs="David" w:eastAsia="David" w:hAnsi="David"/>
          <w:b/>
          <w:bCs/>
          <w:sz w:val="24"/>
          <w:szCs w:val="24"/>
          <w:rtl/>
        </w:rPr>
        <w:t xml:space="preserve">שמירת טענות:</w:t>
      </w:r>
      <w:r>
        <w:rPr>
          <w:rFonts w:ascii="David" w:cs="David" w:eastAsia="David" w:hAnsi="David"/>
          <w:sz w:val="24"/>
          <w:szCs w:val="24"/>
          <w:rtl/>
        </w:rPr>
        <w:t xml:space="preserve"> אין בהשתתפות מי מהצדדים בתקופת הניסיון כדי לפגוע בטענה, בזכות או בסעד העומדים לו, וכל טענות הצדדים שמורות להם.</w:t>
      </w:r>
    </w:p>
    <w:p>
      <w:pPr>
        <w:bidi/>
        <w:spacing w:after="120" w:before="240" w:line="360" w:lineRule="auto"/>
        <w:jc w:val="start"/>
      </w:pPr>
      <w:r>
        <w:rPr>
          <w:rFonts w:ascii="David" w:cs="David" w:eastAsia="David" w:hAnsi="David"/>
          <w:b/>
          <w:bCs/>
          <w:sz w:val="24"/>
          <w:szCs w:val="24"/>
          <w:u w:val="single"/>
          <w:rtl/>
        </w:rPr>
        <w:t xml:space="preserve">ד. סוף דבר</w:t>
      </w:r>
    </w:p>
    <w:p>
      <w:pPr>
        <w:pStyle w:val="ListParagraph"/>
        <w:numPr>
          <w:ilvl w:val="0"/>
          <w:numId w:val="2"/>
        </w:numPr>
        <w:bidi/>
        <w:spacing w:after="120" w:line="360" w:lineRule="auto"/>
        <w:jc w:val="both"/>
      </w:pPr>
      <w:r>
        <w:rPr>
          <w:rFonts w:ascii="David" w:cs="David" w:eastAsia="David" w:hAnsi="David"/>
          <w:sz w:val="24"/>
          <w:szCs w:val="24"/>
          <w:rtl/>
        </w:rPr>
        <w:t xml:space="preserve">האישה מבקשת לתת לנישואין הזדמנות ממשית וכנה, אך במסגרת ברורה ומאוזנת, השומרת על שלומה, על ביטחונה ועל זכויותיה. לאור כל האמור, מתבקש בית הדין הנכבד:</w:t>
      </w:r>
    </w:p>
    <w:p>
      <w:pPr>
        <w:pStyle w:val="ListParagraph"/>
        <w:numPr>
          <w:ilvl w:val="0"/>
          <w:numId w:val="5"/>
        </w:numPr>
        <w:bidi/>
        <w:spacing w:after="120" w:line="360" w:lineRule="auto"/>
        <w:jc w:val="both"/>
      </w:pPr>
      <w:r>
        <w:rPr>
          <w:rFonts w:ascii="David" w:cs="David" w:eastAsia="David" w:hAnsi="David"/>
          <w:sz w:val="24"/>
          <w:szCs w:val="24"/>
          <w:rtl/>
        </w:rPr>
        <w:t xml:space="preserve">לדחות את הבקשה להורות לאישה להגיש הודעה אישית הנתמכת בתצהיר.</w:t>
      </w:r>
    </w:p>
    <w:p>
      <w:pPr>
        <w:pStyle w:val="ListParagraph"/>
        <w:numPr>
          <w:ilvl w:val="0"/>
          <w:numId w:val="5"/>
        </w:numPr>
        <w:bidi/>
        <w:spacing w:after="120" w:line="360" w:lineRule="auto"/>
        <w:jc w:val="both"/>
      </w:pPr>
      <w:r>
        <w:rPr>
          <w:rFonts w:ascii="David" w:cs="David" w:eastAsia="David" w:hAnsi="David"/>
          <w:sz w:val="24"/>
          <w:szCs w:val="24"/>
          <w:rtl/>
        </w:rPr>
        <w:t xml:space="preserve">לאמץ את המתווה המפורט בפרק ג' לתגובה זו ולתת לו תוקף של החלטה.</w:t>
      </w:r>
    </w:p>
    <w:p>
      <w:pPr>
        <w:pStyle w:val="ListParagraph"/>
        <w:numPr>
          <w:ilvl w:val="0"/>
          <w:numId w:val="5"/>
        </w:numPr>
        <w:bidi/>
        <w:spacing w:after="120" w:line="360" w:lineRule="auto"/>
        <w:jc w:val="both"/>
      </w:pPr>
      <w:r>
        <w:rPr>
          <w:rFonts w:ascii="David" w:cs="David" w:eastAsia="David" w:hAnsi="David"/>
          <w:sz w:val="24"/>
          <w:szCs w:val="24"/>
          <w:rtl/>
        </w:rPr>
        <w:t xml:space="preserve">ככל שהבעל יודיע בכתב על הסכמתו למתווה, לבטל את הדיון הקבוע. ככל שלא תושג הסכמה כאמור, לקיים את הדיון במועדו.</w:t>
      </w:r>
    </w:p>
    <w:p>
      <w:pPr>
        <w:pStyle w:val="ListParagraph"/>
        <w:numPr>
          <w:ilvl w:val="0"/>
          <w:numId w:val="5"/>
        </w:numPr>
        <w:bidi/>
        <w:spacing w:after="120" w:line="360" w:lineRule="auto"/>
        <w:jc w:val="both"/>
      </w:pPr>
      <w:r>
        <w:rPr>
          <w:rFonts w:ascii="David" w:cs="David" w:eastAsia="David" w:hAnsi="David"/>
          <w:sz w:val="24"/>
          <w:szCs w:val="24"/>
          <w:rtl/>
        </w:rPr>
        <w:t xml:space="preserve">להורות כי ביטול צו ההגנה ייעשה אך ורק כחלק מהמתווה ובכפוף לתנאיו, לרבות מנגנון ההגנה האמור בו.</w:t>
      </w:r>
    </w:p>
    <w:p>
      <w:pPr>
        <w:pStyle w:val="ListParagraph"/>
        <w:numPr>
          <w:ilvl w:val="0"/>
          <w:numId w:val="5"/>
        </w:numPr>
        <w:bidi/>
        <w:spacing w:after="120" w:line="360" w:lineRule="auto"/>
        <w:jc w:val="both"/>
      </w:pPr>
      <w:r>
        <w:rPr>
          <w:rFonts w:ascii="David" w:cs="David" w:eastAsia="David" w:hAnsi="David"/>
          <w:sz w:val="24"/>
          <w:szCs w:val="24"/>
          <w:rtl/>
        </w:rPr>
        <w:t xml:space="preserve">לדחות על הסף את הבקשה לביטול חיוב המזונות הזמניים.</w:t>
      </w:r>
    </w:p>
    <w:p>
      <w:pPr>
        <w:pStyle w:val="ListParagraph"/>
        <w:numPr>
          <w:ilvl w:val="0"/>
          <w:numId w:val="2"/>
        </w:numPr>
        <w:bidi/>
        <w:spacing w:after="120" w:line="360" w:lineRule="auto"/>
        <w:jc w:val="both"/>
      </w:pPr>
      <w:r>
        <w:rPr>
          <w:rFonts w:ascii="David" w:cs="David" w:eastAsia="David" w:hAnsi="David"/>
          <w:sz w:val="24"/>
          <w:szCs w:val="24"/>
          <w:rtl/>
        </w:rPr>
        <w:t xml:space="preserve">מן הדין ומן הצדק להיעתר לתגובה זו.</w:t>
      </w:r>
    </w:p>
    <w:p>
      <w:pPr>
        <w:bidi/>
        <w:spacing w:after="360"/>
        <w:jc w:val="both"/>
      </w:pP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Pr>
          <w:p>
            <w:pPr>
              <w:bidi/>
              <w:spacing w:after="40"/>
              <w:jc w:val="start"/>
            </w:pPr>
            <w:r>
              <w:rPr>
                <w:rFonts w:ascii="David" w:cs="David" w:eastAsia="David" w:hAnsi="David"/>
                <w:sz w:val="24"/>
                <w:szCs w:val="24"/>
                <w:rtl/>
              </w:rPr>
              <w:t xml:space="preserve">היום, __.10.2026</w:t>
            </w:r>
          </w:p>
        </w:tc>
        <w:tc>
          <w:tcPr>
            <w:tcW w:type="dxa" w:w="4536"/>
            <w:tcBorders>
              <w:top w:val="none" w:color="FFFFFF" w:sz="0"/>
              <w:left w:val="none" w:color="FFFFFF" w:sz="0"/>
              <w:bottom w:val="none" w:color="FFFFFF" w:sz="0"/>
              <w:right w:val="none" w:color="FFFFFF" w:sz="0"/>
            </w:tcBorders>
          </w:tcPr>
          <w:p>
            <w:pPr>
              <w:bidi/>
              <w:spacing w:after="40"/>
              <w:jc w:val="center"/>
            </w:pPr>
            <w:r>
              <w:rPr>
                <w:rFonts w:ascii="David" w:cs="David" w:eastAsia="David" w:hAnsi="David"/>
                <w:sz w:val="24"/>
                <w:szCs w:val="24"/>
                <w:rtl/>
              </w:rPr>
              <w:t xml:space="preserve">בכבוד רב,</w:t>
            </w:r>
          </w:p>
          <w:p>
            <w:pPr>
              <w:bidi/>
              <w:spacing w:after="40"/>
              <w:jc w:val="center"/>
            </w:pPr>
          </w:p>
          <w:p>
            <w:pPr>
              <w:bidi/>
              <w:spacing w:after="40"/>
              <w:jc w:val="center"/>
            </w:pPr>
            <w:r>
              <w:rPr>
                <w:rFonts w:ascii="David" w:cs="David" w:eastAsia="David" w:hAnsi="David"/>
                <w:sz w:val="24"/>
                <w:szCs w:val="24"/>
                <w:rtl/>
              </w:rPr>
              <w:t xml:space="preserve">______________________</w:t>
            </w:r>
          </w:p>
          <w:p>
            <w:pPr>
              <w:bidi/>
              <w:spacing w:after="40"/>
              <w:jc w:val="center"/>
            </w:pPr>
            <w:r>
              <w:rPr>
                <w:rFonts w:ascii="David" w:cs="David" w:eastAsia="David" w:hAnsi="David"/>
                <w:sz w:val="24"/>
                <w:szCs w:val="24"/>
                <w:rtl/>
              </w:rPr>
              <w:t xml:space="preserve">__________, עו"ד</w:t>
            </w:r>
          </w:p>
          <w:p>
            <w:pPr>
              <w:bidi/>
              <w:spacing w:after="40"/>
              <w:jc w:val="center"/>
            </w:pPr>
            <w:r>
              <w:rPr>
                <w:rFonts w:ascii="David" w:cs="David" w:eastAsia="David" w:hAnsi="David"/>
                <w:b/>
                <w:bCs/>
                <w:sz w:val="24"/>
                <w:szCs w:val="24"/>
                <w:rtl/>
              </w:rPr>
              <w:t xml:space="preserve">ב"כ האישה</w:t>
            </w:r>
          </w:p>
        </w:tc>
      </w:tr>
    </w:tbl>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lvl>
  </w:abstractNum>
  <w:abstractNum w:abstractNumId="3" w15:restartNumberingAfterBreak="0">
    <w:multiLevelType w:val="hybridMultilevel"/>
    <w:lvl w:ilvl="0" w15:tentative="1">
      <w:start w:val="1"/>
      <w:numFmt w:val="hebrew2"/>
      <w:suff w:val="tab"/>
      <w:lvlText w:val="%1."/>
      <w:lvlJc w:val="start"/>
      <w:pPr>
        <w:ind w:left="1134" w:hanging="567"/>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2026-10-13T09:10:26.376Z</dcterms:created>
  <dcterms:modified xsi:type="dcterms:W3CDTF">2026-10-13T09:10:26.376Z</dcterms:modified>
</cp:coreProperties>
</file>

<file path=docProps/custom.xml><?xml version="1.0" encoding="utf-8"?>
<Properties xmlns="http://schemas.openxmlformats.org/officeDocument/2006/custom-properties" xmlns:vt="http://schemas.openxmlformats.org/officeDocument/2006/docPropsVTypes"/>
</file>