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443"/>
        <w:gridCol w:w="3628"/>
      </w:tblGrid>
      <w:tr>
        <w:tc>
          <w:tcPr>
            <w:tcW w:type="dxa" w:w="5443"/>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בבית הדין הרבני האזורי רחובות</w:t>
            </w:r>
          </w:p>
        </w:tc>
        <w:tc>
          <w:tcPr>
            <w:tcW w:type="dxa" w:w="3628"/>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תיק 1298590/4</w:t>
            </w:r>
          </w:p>
        </w:tc>
      </w:tr>
    </w:tbl>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המבקשת:</w:t>
            </w:r>
          </w:p>
        </w:tc>
        <w:tc>
          <w:tcPr>
            <w:tcW w:type="dxa" w:w="7272"/>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ישאמבת עלמיהו, ת"ז 319506812 (להלן: "האישה")</w:t>
            </w:r>
          </w:p>
          <w:p>
            <w:pPr>
              <w:bidi/>
              <w:spacing w:after="40"/>
              <w:jc w:val="start"/>
            </w:pPr>
            <w:r>
              <w:rPr>
                <w:rFonts w:ascii="David" w:cs="David" w:eastAsia="David" w:hAnsi="David"/>
                <w:sz w:val="24"/>
                <w:szCs w:val="24"/>
                <w:rtl/>
              </w:rPr>
              <w:t xml:space="preserve">באמצעות ב"כ עו"ד סולומון טקה</w:t>
            </w:r>
          </w:p>
        </w:tc>
      </w:tr>
    </w:tbl>
    <w:p>
      <w:pPr>
        <w:bidi/>
        <w:spacing w:after="60" w:before="60"/>
        <w:jc w:val="center"/>
      </w:pPr>
      <w:r>
        <w:rPr>
          <w:rFonts w:ascii="David" w:cs="David" w:eastAsia="David" w:hAnsi="David"/>
          <w:b/>
          <w:bCs/>
          <w:sz w:val="24"/>
          <w:szCs w:val="24"/>
          <w:rtl/>
        </w:rPr>
        <w:t xml:space="preserve">- נגד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המשיב:</w:t>
            </w:r>
          </w:p>
        </w:tc>
        <w:tc>
          <w:tcPr>
            <w:tcW w:type="dxa" w:w="7272"/>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סיטוטאו אסנקה, ת"ז 321836330 (להלן: "הבעל")</w:t>
            </w:r>
          </w:p>
          <w:p>
            <w:pPr>
              <w:bidi/>
              <w:spacing w:after="40"/>
              <w:jc w:val="start"/>
            </w:pPr>
            <w:r>
              <w:rPr>
                <w:rFonts w:ascii="David" w:cs="David" w:eastAsia="David" w:hAnsi="David"/>
                <w:sz w:val="24"/>
                <w:szCs w:val="24"/>
                <w:rtl/>
              </w:rPr>
              <w:t xml:space="preserve">באמצעות ב"כ עו"ד צפנת חן כהן</w:t>
            </w:r>
          </w:p>
        </w:tc>
      </w:tr>
    </w:tbl>
    <w:p>
      <w:pPr>
        <w:bidi/>
        <w:spacing w:after="200" w:before="240" w:line="360" w:lineRule="auto"/>
        <w:jc w:val="center"/>
      </w:pPr>
      <w:r>
        <w:rPr>
          <w:rFonts w:ascii="David" w:cs="David" w:eastAsia="David" w:hAnsi="David"/>
          <w:b/>
          <w:bCs/>
          <w:sz w:val="28"/>
          <w:szCs w:val="28"/>
          <w:u w:val="single"/>
          <w:rtl/>
        </w:rPr>
        <w:t xml:space="preserve">תגובת האישה לבקשת הבעל מיום 12.10.2026</w:t>
      </w:r>
    </w:p>
    <w:p>
      <w:pPr>
        <w:bidi/>
        <w:spacing w:after="60" w:line="360" w:lineRule="auto"/>
        <w:jc w:val="both"/>
      </w:pPr>
      <w:r>
        <w:rPr>
          <w:rFonts w:ascii="David" w:cs="David" w:eastAsia="David" w:hAnsi="David"/>
          <w:sz w:val="24"/>
          <w:szCs w:val="24"/>
          <w:rtl/>
        </w:rPr>
        <w:t xml:space="preserve">בהתאם להחלטת בית הדין הנכבד, מתכבדת האישה להגיש את תגובתה לבקשת הבעל, כדלקמן:</w:t>
      </w:r>
    </w:p>
    <w:p>
      <w:pPr>
        <w:pStyle w:val="ListParagraph"/>
        <w:numPr>
          <w:ilvl w:val="0"/>
          <w:numId w:val="2"/>
        </w:numPr>
        <w:bidi/>
        <w:spacing w:after="60" w:line="360" w:lineRule="auto"/>
        <w:jc w:val="both"/>
      </w:pPr>
      <w:r>
        <w:rPr>
          <w:rFonts w:ascii="David" w:cs="David" w:eastAsia="David" w:hAnsi="David"/>
          <w:sz w:val="24"/>
          <w:szCs w:val="24"/>
          <w:rtl/>
        </w:rPr>
        <w:t xml:space="preserve">האישה מאשרת כי הצדדים שוחחו ביניהם, והיא מבקשת בכנות לתת הזדמנות ממשית לשיקום הנישואין. ואולם, שלום בית אינו מושג בהצהרה חד צדדית ובביטול גורף של כל ההסדרים הקיימים, כפי שמבקש הבעל, אלא במסגרת ברורה ומחייבת המעוגנת בהחלטה שיפוטית. לפיכך מציעה האישה את המתווה שבסעיף 7 להלן.</w:t>
      </w:r>
    </w:p>
    <w:p>
      <w:pPr>
        <w:pStyle w:val="ListParagraph"/>
        <w:numPr>
          <w:ilvl w:val="0"/>
          <w:numId w:val="2"/>
        </w:numPr>
        <w:bidi/>
        <w:spacing w:after="60" w:line="360" w:lineRule="auto"/>
        <w:jc w:val="both"/>
      </w:pPr>
      <w:r>
        <w:rPr>
          <w:rFonts w:ascii="David" w:cs="David" w:eastAsia="David" w:hAnsi="David"/>
          <w:b/>
          <w:bCs/>
          <w:sz w:val="24"/>
          <w:szCs w:val="24"/>
          <w:rtl/>
        </w:rPr>
        <w:t xml:space="preserve">התצהיר:</w:t>
      </w:r>
      <w:r>
        <w:rPr>
          <w:rFonts w:ascii="David" w:cs="David" w:eastAsia="David" w:hAnsi="David"/>
          <w:sz w:val="24"/>
          <w:szCs w:val="24"/>
          <w:rtl/>
        </w:rPr>
        <w:t xml:space="preserve"> דין הבקשה לחייב את האישה בתצהיר להידחות. עמדת האישה מובאת במלואה בתגובה זו, והיא תציג אותה גם באופן אישי בפני בית הדין בדיון. הבעל, שלא צירף תצהיר לבקשתו שלו, אינו יכול לדרוש מהאישה את מה שהוא עצמו לא עשה.</w:t>
      </w:r>
    </w:p>
    <w:p>
      <w:pPr>
        <w:pStyle w:val="ListParagraph"/>
        <w:numPr>
          <w:ilvl w:val="0"/>
          <w:numId w:val="2"/>
        </w:numPr>
        <w:bidi/>
        <w:spacing w:after="60" w:line="360" w:lineRule="auto"/>
        <w:jc w:val="both"/>
      </w:pPr>
      <w:r>
        <w:rPr>
          <w:rFonts w:ascii="David" w:cs="David" w:eastAsia="David" w:hAnsi="David"/>
          <w:b/>
          <w:bCs/>
          <w:sz w:val="24"/>
          <w:szCs w:val="24"/>
          <w:rtl/>
        </w:rPr>
        <w:t xml:space="preserve">הדיון:</w:t>
      </w:r>
      <w:r>
        <w:rPr>
          <w:rFonts w:ascii="David" w:cs="David" w:eastAsia="David" w:hAnsi="David"/>
          <w:sz w:val="24"/>
          <w:szCs w:val="24"/>
          <w:rtl/>
        </w:rPr>
        <w:t xml:space="preserve"> האישה מתנגדת לביטול הדיון. דווקא משום שהצדדים בוחנים שלום בית, נדרשת מסגרת ברורה שתיקבע על ידי בית הדין. האישה תסכים לביטול הדיון אך ורק אם הבעל יודיע בכתב על הסכמתו למתווה, והמתווה יקבל תוקף של החלטה. בהיעדר הסכמה כאמור, האישה עומדת על קיום הדיון במועדו.</w:t>
      </w:r>
    </w:p>
    <w:p>
      <w:pPr>
        <w:pStyle w:val="ListParagraph"/>
        <w:numPr>
          <w:ilvl w:val="0"/>
          <w:numId w:val="2"/>
        </w:numPr>
        <w:bidi/>
        <w:spacing w:after="60" w:line="360" w:lineRule="auto"/>
        <w:jc w:val="both"/>
      </w:pPr>
      <w:r>
        <w:rPr>
          <w:rFonts w:ascii="David" w:cs="David" w:eastAsia="David" w:hAnsi="David"/>
          <w:b/>
          <w:bCs/>
          <w:sz w:val="24"/>
          <w:szCs w:val="24"/>
          <w:rtl/>
        </w:rPr>
        <w:t xml:space="preserve">צו ההגנה:</w:t>
      </w:r>
      <w:r>
        <w:rPr>
          <w:rFonts w:ascii="David" w:cs="David" w:eastAsia="David" w:hAnsi="David"/>
          <w:sz w:val="24"/>
          <w:szCs w:val="24"/>
          <w:rtl/>
        </w:rPr>
        <w:t xml:space="preserve"> הצו ניתן לאחר שבית הדין שוכנע כי קיימות נסיבות המצדיקות אותו. אף על פי כן, ומתוך רצון כן בשלום בית, האישה מסכימה לביטול הצו ולחזרת הבעל לבית, אך ורק כחלק מהמתווה ובכפוף לכל תנאיו. ככל שהבעל לא יסכים למתווה, האישה מתנגדת לביטול הצו. אין בהסכמת האישה משום הודאה כי הנסיבות שבבסיס הצו לא התקיימו.</w:t>
      </w:r>
    </w:p>
    <w:p>
      <w:pPr>
        <w:pStyle w:val="ListParagraph"/>
        <w:numPr>
          <w:ilvl w:val="0"/>
          <w:numId w:val="2"/>
        </w:numPr>
        <w:bidi/>
        <w:spacing w:after="60" w:line="360" w:lineRule="auto"/>
        <w:jc w:val="both"/>
      </w:pPr>
      <w:r>
        <w:rPr>
          <w:rFonts w:ascii="David" w:cs="David" w:eastAsia="David" w:hAnsi="David"/>
          <w:b/>
          <w:bCs/>
          <w:sz w:val="24"/>
          <w:szCs w:val="24"/>
          <w:rtl/>
        </w:rPr>
        <w:t xml:space="preserve">המזונות:</w:t>
      </w:r>
      <w:r>
        <w:rPr>
          <w:rFonts w:ascii="David" w:cs="David" w:eastAsia="David" w:hAnsi="David"/>
          <w:sz w:val="24"/>
          <w:szCs w:val="24"/>
          <w:rtl/>
        </w:rPr>
        <w:t xml:space="preserve"> האישה מתנגדת נחרצות לבקשה לבטל את המזונות הזמניים שנפסקו לילדים, ומבקשת לדחותה על הסף. </w:t>
      </w:r>
      <w:r>
        <w:rPr>
          <w:rFonts w:ascii="David" w:cs="David" w:eastAsia="David" w:hAnsi="David"/>
          <w:b/>
          <w:bCs/>
          <w:sz w:val="24"/>
          <w:szCs w:val="24"/>
          <w:rtl/>
        </w:rPr>
        <w:t xml:space="preserve">ראשית</w:t>
      </w:r>
      <w:r>
        <w:rPr>
          <w:rFonts w:ascii="David" w:cs="David" w:eastAsia="David" w:hAnsi="David"/>
          <w:sz w:val="24"/>
          <w:szCs w:val="24"/>
          <w:rtl/>
        </w:rPr>
        <w:t xml:space="preserve">, הבקשה הוכנסה בתוך סוגריים בסעיף 18 לבקשה, ללא כל נימוק. ביטול מזונות הוא סעד מהותי המחייב בקשה מסודרת, מנומקת ונתמכת בראיות, ואין לאפשר את השגתו בדרך עקיפה זו. </w:t>
      </w:r>
      <w:r>
        <w:rPr>
          <w:rFonts w:ascii="David" w:cs="David" w:eastAsia="David" w:hAnsi="David"/>
          <w:b/>
          <w:bCs/>
          <w:sz w:val="24"/>
          <w:szCs w:val="24"/>
          <w:rtl/>
        </w:rPr>
        <w:t xml:space="preserve">שנית</w:t>
      </w:r>
      <w:r>
        <w:rPr>
          <w:rFonts w:ascii="David" w:cs="David" w:eastAsia="David" w:hAnsi="David"/>
          <w:sz w:val="24"/>
          <w:szCs w:val="24"/>
          <w:rtl/>
        </w:rPr>
        <w:t xml:space="preserve">, מזונות הילדים הם זכותם של הילדים עצמם. חובת האב לזון את ילדיו הקטינים אינה תלויה ביחסים בין ההורים, ואינה יכולה לשמש קלף במשא ומתן ביניהם. </w:t>
      </w:r>
      <w:r>
        <w:rPr>
          <w:rFonts w:ascii="David" w:cs="David" w:eastAsia="David" w:hAnsi="David"/>
          <w:b/>
          <w:bCs/>
          <w:sz w:val="24"/>
          <w:szCs w:val="24"/>
          <w:rtl/>
        </w:rPr>
        <w:t xml:space="preserve">שלישית</w:t>
      </w:r>
      <w:r>
        <w:rPr>
          <w:rFonts w:ascii="David" w:cs="David" w:eastAsia="David" w:hAnsi="David"/>
          <w:sz w:val="24"/>
          <w:szCs w:val="24"/>
          <w:rtl/>
        </w:rPr>
        <w:t xml:space="preserve">, בקשה לשלול את מזונות הילדים דווקא בפתח תקופת שיקום, ובצמוד להצהרה על רצון בשלום בית, מעוררת חשש ממשי כי ההצהרה נועדה לשמש אמצעי לחיסכון כספי ולא לשיקום המשפחה.</w:t>
      </w:r>
    </w:p>
    <w:p>
      <w:pPr>
        <w:pStyle w:val="ListParagraph"/>
        <w:numPr>
          <w:ilvl w:val="0"/>
          <w:numId w:val="2"/>
        </w:numPr>
        <w:bidi/>
        <w:spacing w:after="60" w:line="360" w:lineRule="auto"/>
        <w:jc w:val="both"/>
      </w:pPr>
      <w:r>
        <w:rPr>
          <w:rFonts w:ascii="David" w:cs="David" w:eastAsia="David" w:hAnsi="David"/>
          <w:b/>
          <w:bCs/>
          <w:sz w:val="24"/>
          <w:szCs w:val="24"/>
          <w:rtl/>
        </w:rPr>
        <w:t xml:space="preserve">חלופה מוצעת:</w:t>
      </w:r>
      <w:r>
        <w:rPr>
          <w:rFonts w:ascii="David" w:cs="David" w:eastAsia="David" w:hAnsi="David"/>
          <w:sz w:val="24"/>
          <w:szCs w:val="24"/>
          <w:rtl/>
        </w:rPr>
        <w:t xml:space="preserve"> מבלי לגרוע מהתנגדותה, ומתוך רצון לקדם את עצמאותה הכלכלית ואת יציבות הבית, האישה מוכנה להסדר הבא:</w:t>
      </w:r>
    </w:p>
    <w:p>
      <w:pPr>
        <w:pStyle w:val="ListParagraph"/>
        <w:numPr>
          <w:ilvl w:val="0"/>
          <w:numId w:val="3"/>
        </w:numPr>
        <w:bidi/>
        <w:spacing w:after="60" w:line="360" w:lineRule="auto"/>
        <w:jc w:val="both"/>
      </w:pPr>
      <w:r>
        <w:rPr>
          <w:rFonts w:ascii="David" w:cs="David" w:eastAsia="David" w:hAnsi="David"/>
          <w:sz w:val="24"/>
          <w:szCs w:val="24"/>
          <w:rtl/>
        </w:rPr>
        <w:t xml:space="preserve">הבעל יישא במלוא עלות המעון של בנם השלישי של הצדדים, כבן 10 חודשים, בתשלום ישיר למעון, ויציג לאישה אישור תשלום מדי חודש.</w:t>
      </w:r>
    </w:p>
    <w:p>
      <w:pPr>
        <w:pStyle w:val="ListParagraph"/>
        <w:numPr>
          <w:ilvl w:val="0"/>
          <w:numId w:val="3"/>
        </w:numPr>
        <w:bidi/>
        <w:spacing w:after="60" w:line="360" w:lineRule="auto"/>
        <w:jc w:val="both"/>
      </w:pPr>
      <w:r>
        <w:rPr>
          <w:rFonts w:ascii="David" w:cs="David" w:eastAsia="David" w:hAnsi="David"/>
          <w:sz w:val="24"/>
          <w:szCs w:val="24"/>
          <w:rtl/>
        </w:rPr>
        <w:t xml:space="preserve">עם קליטת הבן במעון, האישה תצא לעבודה, כדי לשאת בעצמה בכלכלת הבית ובכלכלתה.</w:t>
      </w:r>
    </w:p>
    <w:p>
      <w:pPr>
        <w:pStyle w:val="ListParagraph"/>
        <w:numPr>
          <w:ilvl w:val="0"/>
          <w:numId w:val="3"/>
        </w:numPr>
        <w:bidi/>
        <w:spacing w:after="60" w:line="360" w:lineRule="auto"/>
        <w:jc w:val="both"/>
      </w:pPr>
      <w:r>
        <w:rPr>
          <w:rFonts w:ascii="David" w:cs="David" w:eastAsia="David" w:hAnsi="David"/>
          <w:sz w:val="24"/>
          <w:szCs w:val="24"/>
          <w:rtl/>
        </w:rPr>
        <w:t xml:space="preserve">מהיום שבו תתחיל האישה לעבוד בפועל, וכל עוד הבעל משלם את המעון במלואו ובמועדו, יעודכן סכום המזונות הזמניים בהתאם להכנסות הצדדים, כפי שיורה בית הדין הנכבד, ובלבד שלא יפחת מהצרכים ההכרחיים של הילדים.</w:t>
      </w:r>
    </w:p>
    <w:p>
      <w:pPr>
        <w:pStyle w:val="ListParagraph"/>
        <w:numPr>
          <w:ilvl w:val="0"/>
          <w:numId w:val="3"/>
        </w:numPr>
        <w:bidi/>
        <w:spacing w:after="60" w:line="360" w:lineRule="auto"/>
        <w:jc w:val="both"/>
      </w:pPr>
      <w:r>
        <w:rPr>
          <w:rFonts w:ascii="David" w:cs="David" w:eastAsia="David" w:hAnsi="David"/>
          <w:sz w:val="24"/>
          <w:szCs w:val="24"/>
          <w:rtl/>
        </w:rPr>
        <w:t xml:space="preserve">אם הבעל יפסיק לשלם את המעון, או אם האישה תפסיק לעבוד שלא באשמתה, יחזור סכום המזונות הזמניים לקדמותו באופן מיידי, ללא צורך בהחלטה נוספת.</w:t>
      </w:r>
    </w:p>
    <w:p>
      <w:pPr>
        <w:pStyle w:val="ListParagraph"/>
        <w:numPr>
          <w:ilvl w:val="0"/>
          <w:numId w:val="2"/>
        </w:numPr>
        <w:bidi/>
        <w:spacing w:after="60" w:line="360" w:lineRule="auto"/>
        <w:jc w:val="both"/>
      </w:pPr>
      <w:r>
        <w:rPr>
          <w:rFonts w:ascii="David" w:cs="David" w:eastAsia="David" w:hAnsi="David"/>
          <w:b/>
          <w:bCs/>
          <w:sz w:val="24"/>
          <w:szCs w:val="24"/>
          <w:rtl/>
        </w:rPr>
        <w:t xml:space="preserve">המתווה המוצע:</w:t>
      </w:r>
    </w:p>
    <w:p>
      <w:pPr>
        <w:pStyle w:val="ListParagraph"/>
        <w:numPr>
          <w:ilvl w:val="0"/>
          <w:numId w:val="4"/>
        </w:numPr>
        <w:bidi/>
        <w:spacing w:after="60" w:line="360" w:lineRule="auto"/>
        <w:jc w:val="both"/>
      </w:pPr>
      <w:r>
        <w:rPr>
          <w:rFonts w:ascii="David" w:cs="David" w:eastAsia="David" w:hAnsi="David"/>
          <w:sz w:val="24"/>
          <w:szCs w:val="24"/>
          <w:rtl/>
        </w:rPr>
        <w:t xml:space="preserve">תקופת ניסיון של שישה חודשים לפחות, ממועד מתן ההחלטה.</w:t>
      </w:r>
    </w:p>
    <w:p>
      <w:pPr>
        <w:pStyle w:val="ListParagraph"/>
        <w:numPr>
          <w:ilvl w:val="0"/>
          <w:numId w:val="4"/>
        </w:numPr>
        <w:bidi/>
        <w:spacing w:after="60" w:line="360" w:lineRule="auto"/>
        <w:jc w:val="both"/>
      </w:pPr>
      <w:r>
        <w:rPr>
          <w:rFonts w:ascii="David" w:cs="David" w:eastAsia="David" w:hAnsi="David"/>
          <w:sz w:val="24"/>
          <w:szCs w:val="24"/>
          <w:rtl/>
        </w:rPr>
        <w:t xml:space="preserve">טיפול זוגי אצל מטפל מתוך רשימת המטפלים המוכרים על ידי בית הדין, שייבחר בהסכמה בתוך 14 ימים, ובהיעדר הסכמה ימונה על ידי בית הדין. עלות הטיפול תחול על הצדדים בחלקים שווים.</w:t>
      </w:r>
    </w:p>
    <w:p>
      <w:pPr>
        <w:pStyle w:val="ListParagraph"/>
        <w:numPr>
          <w:ilvl w:val="0"/>
          <w:numId w:val="4"/>
        </w:numPr>
        <w:bidi/>
        <w:spacing w:after="60" w:line="360" w:lineRule="auto"/>
        <w:jc w:val="both"/>
      </w:pPr>
      <w:r>
        <w:rPr>
          <w:rFonts w:ascii="David" w:cs="David" w:eastAsia="David" w:hAnsi="David"/>
          <w:sz w:val="24"/>
          <w:szCs w:val="24"/>
          <w:rtl/>
        </w:rPr>
        <w:t xml:space="preserve">הבעל ימשיך לשלם את המזונות הזמניים במלואם ובמועדם, בכפוף לחלופה שבסעיף 6 לעיל. חזרתו לבית לא תהווה עילה להפחתתם או לביטולם.</w:t>
      </w:r>
    </w:p>
    <w:p>
      <w:pPr>
        <w:pStyle w:val="ListParagraph"/>
        <w:numPr>
          <w:ilvl w:val="0"/>
          <w:numId w:val="4"/>
        </w:numPr>
        <w:bidi/>
        <w:spacing w:after="60" w:line="360" w:lineRule="auto"/>
        <w:jc w:val="both"/>
      </w:pPr>
      <w:r>
        <w:rPr>
          <w:rFonts w:ascii="David" w:cs="David" w:eastAsia="David" w:hAnsi="David"/>
          <w:sz w:val="24"/>
          <w:szCs w:val="24"/>
          <w:rtl/>
        </w:rPr>
        <w:t xml:space="preserve">יתר ההסדרים הקיימים יעמדו בתוקפם, למעט צו ההגנה, שיבוטל עם מתן ההחלטה. הבעל ישוב לבית בד בבד עם תחילת הטיפול הזוגי.</w:t>
      </w:r>
    </w:p>
    <w:p>
      <w:pPr>
        <w:pStyle w:val="ListParagraph"/>
        <w:numPr>
          <w:ilvl w:val="0"/>
          <w:numId w:val="4"/>
        </w:numPr>
        <w:bidi/>
        <w:spacing w:after="60" w:line="360" w:lineRule="auto"/>
        <w:jc w:val="both"/>
      </w:pPr>
      <w:r>
        <w:rPr>
          <w:rFonts w:ascii="David" w:cs="David" w:eastAsia="David" w:hAnsi="David"/>
          <w:sz w:val="24"/>
          <w:szCs w:val="24"/>
          <w:rtl/>
        </w:rPr>
        <w:t xml:space="preserve">הצדדים יימנעו מכל אלימות, איום או הטרדה. בכל הפרה תוכל האישה לפנות בבקשה דחופה לחידוש צו ההגנה, לרבות במעמד צד אחד.</w:t>
      </w:r>
    </w:p>
    <w:p>
      <w:pPr>
        <w:pStyle w:val="ListParagraph"/>
        <w:numPr>
          <w:ilvl w:val="0"/>
          <w:numId w:val="4"/>
        </w:numPr>
        <w:bidi/>
        <w:spacing w:after="60" w:line="360" w:lineRule="auto"/>
        <w:jc w:val="both"/>
      </w:pPr>
      <w:r>
        <w:rPr>
          <w:rFonts w:ascii="David" w:cs="David" w:eastAsia="David" w:hAnsi="David"/>
          <w:sz w:val="24"/>
          <w:szCs w:val="24"/>
          <w:rtl/>
        </w:rPr>
        <w:t xml:space="preserve">בתום התקופה יגישו הצדדים הודעת עדכון לבית הדין. כל טענות הצדדים שמורות להם.</w:t>
      </w:r>
    </w:p>
    <w:p>
      <w:pPr>
        <w:pStyle w:val="ListParagraph"/>
        <w:numPr>
          <w:ilvl w:val="0"/>
          <w:numId w:val="2"/>
        </w:numPr>
        <w:bidi/>
        <w:spacing w:after="60" w:line="360" w:lineRule="auto"/>
        <w:jc w:val="both"/>
      </w:pPr>
      <w:r>
        <w:rPr>
          <w:rFonts w:ascii="David" w:cs="David" w:eastAsia="David" w:hAnsi="David"/>
          <w:sz w:val="24"/>
          <w:szCs w:val="24"/>
          <w:rtl/>
        </w:rPr>
        <w:t xml:space="preserve">אשר על כן, מתבקש בית הדין הנכבד:</w:t>
      </w:r>
    </w:p>
    <w:p>
      <w:pPr>
        <w:pStyle w:val="ListParagraph"/>
        <w:numPr>
          <w:ilvl w:val="0"/>
          <w:numId w:val="5"/>
        </w:numPr>
        <w:bidi/>
        <w:spacing w:after="60" w:line="360" w:lineRule="auto"/>
        <w:jc w:val="both"/>
      </w:pPr>
      <w:r>
        <w:rPr>
          <w:rFonts w:ascii="David" w:cs="David" w:eastAsia="David" w:hAnsi="David"/>
          <w:sz w:val="24"/>
          <w:szCs w:val="24"/>
          <w:rtl/>
        </w:rPr>
        <w:t xml:space="preserve">לאמץ את המתווה שבסעיף 7 ולתת לו תוקף של החלטה.</w:t>
      </w:r>
    </w:p>
    <w:p>
      <w:pPr>
        <w:pStyle w:val="ListParagraph"/>
        <w:numPr>
          <w:ilvl w:val="0"/>
          <w:numId w:val="5"/>
        </w:numPr>
        <w:bidi/>
        <w:spacing w:after="60" w:line="360" w:lineRule="auto"/>
        <w:jc w:val="both"/>
      </w:pPr>
      <w:r>
        <w:rPr>
          <w:rFonts w:ascii="David" w:cs="David" w:eastAsia="David" w:hAnsi="David"/>
          <w:sz w:val="24"/>
          <w:szCs w:val="24"/>
          <w:rtl/>
        </w:rPr>
        <w:t xml:space="preserve">לבטל את הדיון רק אם הבעל יודיע בכתב על הסכמתו למתווה, ואחרת לקיימו במועדו.</w:t>
      </w:r>
    </w:p>
    <w:p>
      <w:pPr>
        <w:pStyle w:val="ListParagraph"/>
        <w:numPr>
          <w:ilvl w:val="0"/>
          <w:numId w:val="5"/>
        </w:numPr>
        <w:bidi/>
        <w:spacing w:after="60" w:line="360" w:lineRule="auto"/>
        <w:jc w:val="both"/>
      </w:pPr>
      <w:r>
        <w:rPr>
          <w:rFonts w:ascii="David" w:cs="David" w:eastAsia="David" w:hAnsi="David"/>
          <w:sz w:val="24"/>
          <w:szCs w:val="24"/>
          <w:rtl/>
        </w:rPr>
        <w:t xml:space="preserve">לדחות את הבקשה לחייב את האישה בתצהיר.</w:t>
      </w:r>
    </w:p>
    <w:p>
      <w:pPr>
        <w:pStyle w:val="ListParagraph"/>
        <w:numPr>
          <w:ilvl w:val="0"/>
          <w:numId w:val="5"/>
        </w:numPr>
        <w:bidi/>
        <w:spacing w:after="60" w:line="360" w:lineRule="auto"/>
        <w:jc w:val="both"/>
      </w:pPr>
      <w:r>
        <w:rPr>
          <w:rFonts w:ascii="David" w:cs="David" w:eastAsia="David" w:hAnsi="David"/>
          <w:sz w:val="24"/>
          <w:szCs w:val="24"/>
          <w:rtl/>
        </w:rPr>
        <w:t xml:space="preserve">לדחות על הסף את הבקשה לביטול המזונות הזמניים, ולחלופין לאמץ את ההסדר שבסעיף 6.</w:t>
      </w:r>
    </w:p>
    <w:p>
      <w:pPr>
        <w:bidi/>
        <w:spacing w:after="120"/>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היום, __.10.2026</w:t>
            </w:r>
          </w:p>
        </w:tc>
        <w:tc>
          <w:tcPr>
            <w:tcW w:type="dxa" w:w="4536"/>
            <w:tcBorders>
              <w:top w:val="none" w:color="FFFFFF" w:sz="0"/>
              <w:left w:val="none" w:color="FFFFFF" w:sz="0"/>
              <w:bottom w:val="none" w:color="FFFFFF" w:sz="0"/>
              <w:right w:val="none" w:color="FFFFFF" w:sz="0"/>
            </w:tcBorders>
          </w:tcPr>
          <w:p>
            <w:pPr>
              <w:bidi/>
              <w:spacing w:after="40"/>
              <w:jc w:val="center"/>
            </w:pPr>
            <w:r>
              <w:rPr>
                <w:rFonts w:ascii="David" w:cs="David" w:eastAsia="David" w:hAnsi="David"/>
                <w:sz w:val="24"/>
                <w:szCs w:val="24"/>
                <w:rtl/>
              </w:rPr>
              <w:t xml:space="preserve">בכבוד רב,</w:t>
            </w:r>
          </w:p>
          <w:p>
            <w:pPr>
              <w:bidi/>
              <w:spacing w:after="40"/>
              <w:jc w:val="center"/>
            </w:pPr>
            <w:r>
              <w:rPr>
                <w:rFonts w:ascii="David" w:cs="David" w:eastAsia="David" w:hAnsi="David"/>
                <w:sz w:val="24"/>
                <w:szCs w:val="24"/>
                <w:rtl/>
              </w:rPr>
              <w:t xml:space="preserve">______________________</w:t>
            </w:r>
          </w:p>
          <w:p>
            <w:pPr>
              <w:bidi/>
              <w:spacing w:after="40"/>
              <w:jc w:val="center"/>
            </w:pPr>
            <w:r>
              <w:rPr>
                <w:rFonts w:ascii="David" w:cs="David" w:eastAsia="David" w:hAnsi="David"/>
                <w:sz w:val="24"/>
                <w:szCs w:val="24"/>
                <w:rtl/>
              </w:rPr>
              <w:t xml:space="preserve">סולומון טקה, עו"ד</w:t>
            </w:r>
          </w:p>
          <w:p>
            <w:pPr>
              <w:bidi/>
              <w:spacing w:after="40"/>
              <w:jc w:val="center"/>
            </w:pPr>
            <w:r>
              <w:rPr>
                <w:rFonts w:ascii="David" w:cs="David" w:eastAsia="David" w:hAnsi="David"/>
                <w:b/>
                <w:bCs/>
                <w:sz w:val="24"/>
                <w:szCs w:val="24"/>
                <w:rtl/>
              </w:rPr>
              <w:t xml:space="preserve">ב"כ האישה</w:t>
            </w:r>
          </w:p>
        </w:tc>
      </w:tr>
    </w:tbl>
    <w:sectPr>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abstractNum w:abstractNumId="3" w15:restartNumberingAfterBreak="0">
    <w:multiLevelType w:val="hybridMultilevel"/>
    <w:lvl w:ilvl="0" w15:tentative="1">
      <w:start w:val="1"/>
      <w:numFmt w:val="hebrew2"/>
      <w:suff w:val="tab"/>
      <w:lvlText w:val="%1."/>
      <w:lvlJc w:val="start"/>
      <w:pPr>
        <w:ind w:left="1134" w:hanging="56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2026-10-18T03:51:17.902Z</dcterms:created>
  <dcterms:modified xsi:type="dcterms:W3CDTF">2026-10-18T03:51:17.907Z</dcterms:modified>
</cp:coreProperties>
</file>

<file path=docProps/custom.xml><?xml version="1.0" encoding="utf-8"?>
<Properties xmlns="http://schemas.openxmlformats.org/officeDocument/2006/custom-properties" xmlns:vt="http://schemas.openxmlformats.org/officeDocument/2006/docPropsVTypes"/>
</file>