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line="276" w:lineRule="auto"/>
        <w:jc w:val="right"/>
      </w:pPr>
      <w:r>
        <w:rPr>
          <w:rFonts w:ascii="David" w:hAnsi="David" w:cs="David" w:eastAsia="David"/>
          <w:b/>
          <w:sz w:val="26"/>
          <w:u w:val="none"/>
          <w:rtl/>
          <w:bCs/>
          <w:szCs w:val="26"/>
        </w:rPr>
        <w:t>בבית המשפט לענייני משפחה בפתח תקווה</w:t>
      </w:r>
    </w:p>
    <w:p>
      <w:pPr>
        <w:bidi/>
        <w:spacing w:after="0" w:line="276" w:lineRule="auto"/>
        <w:jc w:val="right"/>
      </w:pPr>
      <w:r>
        <w:rPr>
          <w:rFonts w:ascii="David" w:hAnsi="David" w:cs="David" w:eastAsia="David"/>
          <w:b/>
          <w:sz w:val="26"/>
          <w:u w:val="none"/>
          <w:rtl/>
          <w:bCs/>
          <w:szCs w:val="26"/>
        </w:rPr>
        <w:t>תיק: 83468-05-26</w:t>
      </w:r>
    </w:p>
    <w:p>
      <w:pPr>
        <w:bidi/>
        <w:spacing w:after="120" w:line="276" w:lineRule="auto"/>
        <w:jc w:val="right"/>
      </w:pPr>
      <w:r>
        <w:rPr>
          <w:rFonts w:ascii="David" w:hAnsi="David" w:cs="David" w:eastAsia="David"/>
          <w:b w:val="0"/>
          <w:sz w:val="24"/>
          <w:u w:val="none"/>
          <w:rtl/>
          <w:szCs w:val="24"/>
        </w:rPr>
        <w:t>בפני כב' השופט אורן אליעז</w:t>
      </w:r>
    </w:p>
    <w:tbl>
      <w:tblPr>
        <w:tblW w:type="auto" w:w="0"/>
        <w:tblLayout w:type="fixed"/>
        <w:tblLook w:firstColumn="1" w:firstRow="1" w:lastColumn="0" w:lastRow="0" w:noHBand="0" w:noVBand="1" w:val="04A0"/>
        <w:bidiVisual/>
      </w:tblPr>
      <w:tblGrid>
        <w:gridCol w:w="2438"/>
        <w:gridCol w:w="6633"/>
      </w:tblGrid>
      <w:tr>
        <w:tc>
          <w:tcPr>
            <w:tcW w:type="dxa" w:w="2438"/>
          </w:tcPr>
          <w:p>
            <w:pPr>
              <w:bidi/>
              <w:spacing w:after="0" w:line="276" w:lineRule="auto"/>
              <w:jc w:val="right"/>
            </w:pPr>
            <w:r>
              <w:rPr>
                <w:rFonts w:ascii="David" w:hAnsi="David" w:cs="David" w:eastAsia="David"/>
                <w:b/>
                <w:sz w:val="24"/>
                <w:u w:val="none"/>
                <w:rtl/>
                <w:bCs/>
                <w:szCs w:val="24"/>
              </w:rPr>
              <w:t>בעניין עזבון המנוח:</w:t>
            </w:r>
          </w:p>
        </w:tc>
        <w:tc>
          <w:tcPr>
            <w:tcW w:type="dxa" w:w="6633"/>
          </w:tcPr>
          <w:p>
            <w:pPr>
              <w:bidi/>
              <w:spacing w:after="0" w:line="276" w:lineRule="auto"/>
              <w:jc w:val="right"/>
            </w:pPr>
            <w:r>
              <w:rPr>
                <w:rFonts w:ascii="David" w:hAnsi="David" w:cs="David" w:eastAsia="David"/>
                <w:b/>
                <w:sz w:val="24"/>
                <w:u w:val="none"/>
                <w:rtl/>
                <w:bCs/>
                <w:szCs w:val="24"/>
              </w:rPr>
              <w:t>______________</w:t>
            </w:r>
          </w:p>
        </w:tc>
      </w:tr>
      <w:tr>
        <w:tc>
          <w:tcPr>
            <w:tcW w:type="dxa" w:w="2438"/>
          </w:tcPr>
          <w:p>
            <w:pPr>
              <w:bidi/>
              <w:spacing w:after="0" w:line="276" w:lineRule="auto"/>
              <w:jc w:val="right"/>
            </w:pPr>
            <w:r>
              <w:rPr>
                <w:rFonts w:ascii="David" w:hAnsi="David" w:cs="David" w:eastAsia="David"/>
                <w:b/>
                <w:sz w:val="24"/>
                <w:u w:val="none"/>
                <w:rtl/>
                <w:bCs/>
                <w:szCs w:val="24"/>
              </w:rPr>
              <w:t>המבקשת:</w:t>
            </w:r>
          </w:p>
        </w:tc>
        <w:tc>
          <w:tcPr>
            <w:tcW w:type="dxa" w:w="6633"/>
          </w:tcPr>
          <w:p>
            <w:pPr>
              <w:bidi/>
              <w:spacing w:after="0" w:line="276" w:lineRule="auto"/>
              <w:jc w:val="right"/>
            </w:pPr>
            <w:r>
              <w:rPr>
                <w:rFonts w:ascii="David" w:hAnsi="David" w:cs="David" w:eastAsia="David"/>
                <w:b/>
                <w:sz w:val="24"/>
                <w:u w:val="none"/>
                <w:rtl/>
                <w:bCs/>
                <w:szCs w:val="24"/>
              </w:rPr>
              <w:t>______________</w:t>
            </w:r>
          </w:p>
          <w:p>
            <w:pPr>
              <w:bidi/>
              <w:spacing w:after="0" w:line="276" w:lineRule="auto"/>
              <w:jc w:val="right"/>
            </w:pPr>
            <w:r>
              <w:rPr>
                <w:rFonts w:ascii="David" w:hAnsi="David" w:cs="David" w:eastAsia="David"/>
                <w:b w:val="0"/>
                <w:sz w:val="24"/>
                <w:u w:val="none"/>
                <w:rtl/>
                <w:szCs w:val="24"/>
              </w:rPr>
              <w:t>ע"י ב"כ עו"ד סולומון טקה</w:t>
            </w:r>
          </w:p>
          <w:p>
            <w:pPr>
              <w:bidi/>
              <w:spacing w:after="0" w:line="276" w:lineRule="auto"/>
              <w:jc w:val="right"/>
            </w:pPr>
            <w:r>
              <w:rPr>
                <w:rFonts w:ascii="David" w:hAnsi="David" w:cs="David" w:eastAsia="David"/>
                <w:b w:val="0"/>
                <w:sz w:val="24"/>
                <w:u w:val="none"/>
                <w:rtl/>
                <w:szCs w:val="24"/>
              </w:rPr>
              <w:t>מרח' פינסקר 21, נתניה</w:t>
            </w:r>
          </w:p>
          <w:p>
            <w:pPr>
              <w:bidi/>
              <w:spacing w:after="0" w:line="276" w:lineRule="auto"/>
              <w:jc w:val="right"/>
            </w:pPr>
            <w:r>
              <w:rPr>
                <w:rFonts w:ascii="David" w:hAnsi="David" w:cs="David" w:eastAsia="David"/>
                <w:b w:val="0"/>
                <w:sz w:val="24"/>
                <w:u w:val="none"/>
                <w:rtl/>
                <w:szCs w:val="24"/>
              </w:rPr>
              <w:t>טל': 052-3700918 ; דוא"ל: solomontekadv@gmail.com</w:t>
            </w:r>
          </w:p>
        </w:tc>
      </w:tr>
    </w:tbl>
    <w:p>
      <w:pPr>
        <w:bidi/>
        <w:spacing w:after="40" w:line="144" w:lineRule="auto"/>
        <w:jc w:val="right"/>
      </w:pPr>
    </w:p>
    <w:p>
      <w:pPr>
        <w:bidi/>
        <w:spacing w:after="40" w:line="276" w:lineRule="auto"/>
        <w:jc w:val="center"/>
      </w:pPr>
      <w:r>
        <w:rPr>
          <w:rFonts w:ascii="David" w:hAnsi="David" w:cs="David" w:eastAsia="David"/>
          <w:b/>
          <w:sz w:val="24"/>
          <w:u w:val="none"/>
          <w:rtl/>
          <w:bCs/>
          <w:szCs w:val="24"/>
        </w:rPr>
        <w:t>- נ ג ד -</w:t>
      </w:r>
    </w:p>
    <w:tbl>
      <w:tblPr>
        <w:tblW w:type="auto" w:w="0"/>
        <w:tblLayout w:type="fixed"/>
        <w:tblLook w:firstColumn="1" w:firstRow="1" w:lastColumn="0" w:lastRow="0" w:noHBand="0" w:noVBand="1" w:val="04A0"/>
        <w:bidiVisual/>
      </w:tblPr>
      <w:tblGrid>
        <w:gridCol w:w="2438"/>
        <w:gridCol w:w="6633"/>
      </w:tblGrid>
      <w:tr>
        <w:tc>
          <w:tcPr>
            <w:tcW w:type="dxa" w:w="2438"/>
          </w:tcPr>
          <w:p>
            <w:pPr>
              <w:bidi/>
              <w:spacing w:after="0" w:line="276" w:lineRule="auto"/>
              <w:jc w:val="right"/>
            </w:pPr>
            <w:r>
              <w:rPr>
                <w:rFonts w:ascii="David" w:hAnsi="David" w:cs="David" w:eastAsia="David"/>
                <w:b/>
                <w:sz w:val="24"/>
                <w:u w:val="none"/>
                <w:rtl/>
                <w:bCs/>
                <w:szCs w:val="24"/>
              </w:rPr>
              <w:t>המשיב:</w:t>
            </w:r>
          </w:p>
        </w:tc>
        <w:tc>
          <w:tcPr>
            <w:tcW w:type="dxa" w:w="6633"/>
          </w:tcPr>
          <w:p>
            <w:pPr>
              <w:bidi/>
              <w:spacing w:after="0" w:line="276" w:lineRule="auto"/>
              <w:jc w:val="right"/>
            </w:pPr>
            <w:r>
              <w:rPr>
                <w:rFonts w:ascii="David" w:hAnsi="David" w:cs="David" w:eastAsia="David"/>
                <w:b/>
                <w:sz w:val="24"/>
                <w:u w:val="none"/>
                <w:rtl/>
                <w:bCs/>
                <w:szCs w:val="24"/>
              </w:rPr>
              <w:t>האפוטרופוס הכללי</w:t>
            </w:r>
          </w:p>
          <w:p>
            <w:pPr>
              <w:bidi/>
              <w:spacing w:after="0" w:line="276" w:lineRule="auto"/>
              <w:jc w:val="right"/>
            </w:pPr>
            <w:r>
              <w:rPr>
                <w:rFonts w:ascii="David" w:hAnsi="David" w:cs="David" w:eastAsia="David"/>
                <w:b w:val="0"/>
                <w:sz w:val="24"/>
                <w:u w:val="none"/>
                <w:rtl/>
                <w:szCs w:val="24"/>
              </w:rPr>
              <w:t>באמצעות פרקליטות מחוז תל אביב מרכז</w:t>
            </w:r>
          </w:p>
        </w:tc>
      </w:tr>
    </w:tbl>
    <w:p>
      <w:pPr>
        <w:bidi/>
        <w:spacing w:after="120" w:line="144" w:lineRule="auto"/>
        <w:jc w:val="right"/>
      </w:pPr>
    </w:p>
    <w:p>
      <w:pPr>
        <w:bidi/>
        <w:spacing w:after="80" w:line="276" w:lineRule="auto"/>
        <w:jc w:val="center"/>
      </w:pPr>
      <w:r>
        <w:rPr>
          <w:rFonts w:ascii="David" w:hAnsi="David" w:cs="David" w:eastAsia="David"/>
          <w:b/>
          <w:sz w:val="30"/>
          <w:u w:val="single"/>
          <w:rtl/>
          <w:bCs/>
          <w:szCs w:val="30"/>
        </w:rPr>
        <w:t>בקשה לקביעת מועד דיון</w:t>
      </w:r>
    </w:p>
    <w:p>
      <w:pPr>
        <w:bidi/>
        <w:spacing w:after="120" w:line="276" w:lineRule="auto"/>
        <w:jc w:val="center"/>
      </w:pPr>
      <w:r>
        <w:rPr>
          <w:rFonts w:ascii="David" w:hAnsi="David" w:cs="David" w:eastAsia="David"/>
          <w:b w:val="0"/>
          <w:sz w:val="24"/>
          <w:u w:val="none"/>
          <w:rtl/>
          <w:szCs w:val="24"/>
        </w:rPr>
        <w:t>(בהתאם להחלטת בית המשפט הנכבד מיום 06.08.2026 בבקשה 1)</w:t>
      </w:r>
    </w:p>
    <w:p>
      <w:pPr>
        <w:bidi/>
        <w:spacing w:after="120" w:line="276" w:lineRule="auto"/>
        <w:jc w:val="both"/>
      </w:pPr>
      <w:r>
        <w:rPr>
          <w:rFonts w:ascii="David" w:hAnsi="David" w:cs="David" w:eastAsia="David"/>
          <w:b w:val="0"/>
          <w:sz w:val="24"/>
          <w:u w:val="none"/>
          <w:rtl/>
          <w:szCs w:val="24"/>
        </w:rPr>
        <w:t>בית המשפט הנכבד מתבקש לקבוע את התיק לדיון במועד הקרוב ביותר, כפי שהורה בהחלטתו מיום 06.08.2026, ולחייב את המשיב להציג את עמדתו. ואלה נימוקי הבקשה:</w:t>
      </w:r>
    </w:p>
    <w:p>
      <w:pPr>
        <w:bidi/>
        <w:spacing w:after="80" w:line="276" w:lineRule="auto"/>
        <w:ind w:right="510" w:hanging="510"/>
        <w:jc w:val="both"/>
      </w:pPr>
      <w:r>
        <w:rPr>
          <w:rFonts w:ascii="David" w:hAnsi="David" w:cs="David" w:eastAsia="David"/>
          <w:b w:val="0"/>
          <w:sz w:val="24"/>
          <w:u w:val="none"/>
          <w:rtl/>
          <w:szCs w:val="24"/>
        </w:rPr>
        <w:t>1.</w:t>
        <w:tab/>
      </w:r>
      <w:r>
        <w:rPr>
          <w:rFonts w:ascii="David" w:hAnsi="David" w:cs="David" w:eastAsia="David"/>
          <w:b w:val="0"/>
          <w:sz w:val="24"/>
          <w:u w:val="none"/>
          <w:rtl/>
          <w:szCs w:val="24"/>
        </w:rPr>
        <w:t>ביום 28.5.2026 הגישה המבקשת את בקשתה. ביום 7.6.2026 הומצאו למשיב הבקשה והחלטת בית המשפט הנכבד, אשר הורתה לו להגיש תגובה בתוך 30 ימים. המשיב לא הגיב, ועל כן הגישה המבקשת ביום 22.7.2026 בקשה למתן החלטה בהיעדר תגובה (בקשה 1).</w:t>
      </w:r>
    </w:p>
    <w:p>
      <w:pPr>
        <w:bidi/>
        <w:spacing w:after="80" w:line="276" w:lineRule="auto"/>
        <w:ind w:right="510" w:hanging="510"/>
        <w:jc w:val="both"/>
      </w:pPr>
      <w:r>
        <w:rPr>
          <w:rFonts w:ascii="David" w:hAnsi="David" w:cs="David" w:eastAsia="David"/>
          <w:b w:val="0"/>
          <w:sz w:val="24"/>
          <w:u w:val="none"/>
          <w:rtl/>
          <w:szCs w:val="24"/>
        </w:rPr>
        <w:t>2.</w:t>
        <w:tab/>
      </w:r>
      <w:r>
        <w:rPr>
          <w:rFonts w:ascii="David" w:hAnsi="David" w:cs="David" w:eastAsia="David"/>
          <w:b w:val="0"/>
          <w:sz w:val="24"/>
          <w:u w:val="none"/>
          <w:rtl/>
          <w:szCs w:val="24"/>
        </w:rPr>
        <w:t xml:space="preserve">ביום 06.08.2026 קבע בית המשפט הנכבד בבקשה 1: </w:t>
      </w:r>
      <w:r>
        <w:rPr>
          <w:rFonts w:ascii="David" w:hAnsi="David" w:cs="David" w:eastAsia="David"/>
          <w:b/>
          <w:sz w:val="24"/>
          <w:u w:val="none"/>
          <w:rtl/>
          <w:bCs/>
          <w:szCs w:val="24"/>
        </w:rPr>
        <w:t>"ככל ולא תוגש תגובה עד ליום 10.9.2026 ייקבע מועד לדיון לצורך קבלת עמדת ב"כ היועמ"ש"</w:t>
      </w:r>
      <w:r>
        <w:rPr>
          <w:rFonts w:ascii="David" w:hAnsi="David" w:cs="David" w:eastAsia="David"/>
          <w:b w:val="0"/>
          <w:sz w:val="24"/>
          <w:u w:val="none"/>
          <w:rtl/>
          <w:szCs w:val="24"/>
        </w:rPr>
        <w:t>.</w:t>
      </w:r>
    </w:p>
    <w:p>
      <w:pPr>
        <w:bidi/>
        <w:spacing w:after="80" w:line="276" w:lineRule="auto"/>
        <w:ind w:right="510" w:hanging="510"/>
        <w:jc w:val="both"/>
      </w:pPr>
      <w:r>
        <w:rPr>
          <w:rFonts w:ascii="David" w:hAnsi="David" w:cs="David" w:eastAsia="David"/>
          <w:b w:val="0"/>
          <w:sz w:val="24"/>
          <w:u w:val="none"/>
          <w:rtl/>
          <w:szCs w:val="24"/>
        </w:rPr>
        <w:t>3.</w:t>
        <w:tab/>
      </w:r>
      <w:r>
        <w:rPr>
          <w:rFonts w:ascii="David" w:hAnsi="David" w:cs="David" w:eastAsia="David"/>
          <w:b w:val="0"/>
          <w:sz w:val="24"/>
          <w:u w:val="none"/>
          <w:rtl/>
          <w:szCs w:val="24"/>
        </w:rPr>
        <w:t>המועד הנוסף חלף לפני למעלה מחודש. המשיב לא הגיש תגובה, לא ביקש ארכה, ומועד דיון טרם נקבע. התנאי שקבע בית המשפט התקיים במלואו, והתוצאה נקבעה בהחלטה עצמה: קביעת התיק לדיון.</w:t>
      </w:r>
    </w:p>
    <w:p>
      <w:pPr>
        <w:bidi/>
        <w:spacing w:after="80" w:line="276" w:lineRule="auto"/>
        <w:ind w:right="510" w:hanging="510"/>
        <w:jc w:val="both"/>
      </w:pPr>
      <w:r>
        <w:rPr>
          <w:rFonts w:ascii="David" w:hAnsi="David" w:cs="David" w:eastAsia="David"/>
          <w:b w:val="0"/>
          <w:sz w:val="24"/>
          <w:u w:val="none"/>
          <w:rtl/>
          <w:szCs w:val="24"/>
        </w:rPr>
        <w:t>4.</w:t>
        <w:tab/>
      </w:r>
      <w:r>
        <w:rPr>
          <w:rFonts w:ascii="David" w:hAnsi="David" w:cs="David" w:eastAsia="David"/>
          <w:b w:val="0"/>
          <w:sz w:val="24"/>
          <w:u w:val="none"/>
          <w:rtl/>
          <w:szCs w:val="24"/>
        </w:rPr>
        <w:t>המשיב החמיץ שני מועדים שקצב לו בית המשפט, וההליך עומד במקומו למעלה מארבעה חודשים. גוף ציבורי אינו רשאי לעכב הליך שיפוטי באמצעות שתיקה, ומעמדו מחייב הקפדה יתרה על מועדים, ולא התעלמות מהם.</w:t>
      </w:r>
    </w:p>
    <w:p>
      <w:pPr>
        <w:bidi/>
        <w:spacing w:after="80" w:line="276" w:lineRule="auto"/>
        <w:ind w:right="510" w:hanging="510"/>
        <w:jc w:val="both"/>
      </w:pPr>
      <w:r>
        <w:rPr>
          <w:rFonts w:ascii="David" w:hAnsi="David" w:cs="David" w:eastAsia="David"/>
          <w:b w:val="0"/>
          <w:sz w:val="24"/>
          <w:u w:val="none"/>
          <w:rtl/>
          <w:szCs w:val="24"/>
        </w:rPr>
        <w:t>5.</w:t>
        <w:tab/>
      </w:r>
      <w:r>
        <w:rPr>
          <w:rFonts w:ascii="David" w:hAnsi="David" w:cs="David" w:eastAsia="David"/>
          <w:b w:val="0"/>
          <w:sz w:val="24"/>
          <w:u w:val="none"/>
          <w:rtl/>
          <w:szCs w:val="24"/>
        </w:rPr>
        <w:t>הואיל ובקשה זו אינה אלא יישום החלטה קיימת של בית המשפט הנכבד, מתבקש ליתן בה החלטה ללא צורך בתגובה.</w:t>
      </w:r>
    </w:p>
    <w:p>
      <w:pPr>
        <w:bidi/>
        <w:spacing w:after="120" w:line="276" w:lineRule="auto"/>
        <w:jc w:val="right"/>
      </w:pPr>
      <w:r>
        <w:rPr>
          <w:rFonts w:ascii="David" w:hAnsi="David" w:cs="David" w:eastAsia="David"/>
          <w:b/>
          <w:sz w:val="24"/>
          <w:u w:val="none"/>
          <w:rtl/>
          <w:bCs/>
          <w:szCs w:val="24"/>
        </w:rPr>
        <w:t>אשר על כן, מתבקש בית המשפט הנכבד:</w:t>
      </w:r>
    </w:p>
    <w:p>
      <w:pPr>
        <w:bidi/>
        <w:spacing w:after="80" w:line="276" w:lineRule="auto"/>
        <w:ind w:right="510" w:hanging="510"/>
        <w:jc w:val="both"/>
      </w:pPr>
      <w:r>
        <w:rPr>
          <w:rFonts w:ascii="David" w:hAnsi="David" w:cs="David" w:eastAsia="David"/>
          <w:b w:val="0"/>
          <w:sz w:val="24"/>
          <w:u w:val="none"/>
          <w:rtl/>
          <w:szCs w:val="24"/>
        </w:rPr>
        <w:t>א.</w:t>
        <w:tab/>
        <w:t>לקבוע את התיק לדיון במועד הקרוב ביותר, בהתאם להחלטתו מיום 06.08.2026.</w:t>
      </w:r>
    </w:p>
    <w:p>
      <w:pPr>
        <w:bidi/>
        <w:spacing w:after="80" w:line="276" w:lineRule="auto"/>
        <w:ind w:right="510" w:hanging="510"/>
        <w:jc w:val="both"/>
      </w:pPr>
      <w:r>
        <w:rPr>
          <w:rFonts w:ascii="David" w:hAnsi="David" w:cs="David" w:eastAsia="David"/>
          <w:b w:val="0"/>
          <w:sz w:val="24"/>
          <w:u w:val="none"/>
          <w:rtl/>
          <w:szCs w:val="24"/>
        </w:rPr>
        <w:t>ב.</w:t>
        <w:tab/>
        <w:t>להורות למשיב להגיש את עמדתו בכתב לא יאוחר מ-7 ימים לפני מועד הדיון, ולהתייצב לדיון באמצעות בא כוחו.</w:t>
      </w:r>
    </w:p>
    <w:p>
      <w:pPr>
        <w:bidi/>
        <w:spacing w:after="80" w:line="276" w:lineRule="auto"/>
        <w:ind w:right="510" w:hanging="510"/>
        <w:jc w:val="both"/>
      </w:pPr>
      <w:r>
        <w:rPr>
          <w:rFonts w:ascii="David" w:hAnsi="David" w:cs="David" w:eastAsia="David"/>
          <w:b w:val="0"/>
          <w:sz w:val="24"/>
          <w:u w:val="none"/>
          <w:rtl/>
          <w:szCs w:val="24"/>
        </w:rPr>
        <w:t>ג.</w:t>
        <w:tab/>
        <w:t>לחלופין, ליתן החלטה בבקשת המבקשת מיום 28.5.2026 ולהיעתר לה במלואה, בהיעדר תגובת המשיב.</w:t>
      </w:r>
    </w:p>
    <w:p>
      <w:pPr>
        <w:bidi/>
        <w:spacing w:after="80" w:line="276" w:lineRule="auto"/>
        <w:ind w:right="510" w:hanging="510"/>
        <w:jc w:val="both"/>
      </w:pPr>
      <w:r>
        <w:rPr>
          <w:rFonts w:ascii="David" w:hAnsi="David" w:cs="David" w:eastAsia="David"/>
          <w:b w:val="0"/>
          <w:sz w:val="24"/>
          <w:u w:val="none"/>
          <w:rtl/>
          <w:szCs w:val="24"/>
        </w:rPr>
        <w:t>ד.</w:t>
        <w:tab/>
        <w:t>לחייב את המשיב בהוצאות בקשה זו.</w:t>
      </w:r>
    </w:p>
    <w:tbl>
      <w:tblPr>
        <w:tblW w:type="auto" w:w="0"/>
        <w:tblLayout w:type="fixed"/>
        <w:tblLook w:firstColumn="1" w:firstRow="1" w:lastColumn="0" w:lastRow="0" w:noHBand="0" w:noVBand="1" w:val="04A0"/>
        <w:bidiVisual/>
      </w:tblPr>
      <w:tblGrid>
        <w:gridCol w:w="4535"/>
        <w:gridCol w:w="4535"/>
      </w:tblGrid>
      <w:tr>
        <w:tc>
          <w:tcPr>
            <w:tcW w:type="dxa" w:w="4536"/>
          </w:tcPr>
          <w:p>
            <w:pPr>
              <w:bidi/>
              <w:spacing w:after="0" w:line="276" w:lineRule="auto"/>
              <w:jc w:val="right"/>
            </w:pPr>
            <w:r>
              <w:rPr>
                <w:rFonts w:ascii="David" w:hAnsi="David" w:cs="David" w:eastAsia="David"/>
                <w:b w:val="0"/>
                <w:sz w:val="24"/>
                <w:u w:val="none"/>
                <w:rtl/>
                <w:szCs w:val="24"/>
              </w:rPr>
            </w:r>
          </w:p>
          <w:p>
            <w:pPr>
              <w:bidi/>
              <w:spacing w:after="0" w:line="276" w:lineRule="auto"/>
              <w:jc w:val="right"/>
            </w:pPr>
            <w:r>
              <w:rPr>
                <w:rFonts w:ascii="David" w:hAnsi="David" w:cs="David" w:eastAsia="David"/>
                <w:b w:val="0"/>
                <w:sz w:val="24"/>
                <w:u w:val="none"/>
                <w:rtl/>
                <w:szCs w:val="24"/>
              </w:rPr>
              <w:t>תאריך: 12.10.2026</w:t>
            </w:r>
          </w:p>
        </w:tc>
        <w:tc>
          <w:tcPr>
            <w:tcW w:type="dxa" w:w="4536"/>
          </w:tcPr>
          <w:p>
            <w:pPr>
              <w:bidi/>
              <w:spacing w:after="0" w:line="276" w:lineRule="auto"/>
              <w:jc w:val="center"/>
            </w:pPr>
            <w:r>
              <w:rPr>
                <w:rFonts w:ascii="David" w:hAnsi="David" w:cs="David" w:eastAsia="David"/>
                <w:b w:val="0"/>
                <w:sz w:val="24"/>
                <w:u w:val="none"/>
                <w:rtl/>
                <w:szCs w:val="24"/>
              </w:rPr>
              <w:t>_______________________</w:t>
            </w:r>
          </w:p>
          <w:p>
            <w:pPr>
              <w:bidi/>
              <w:spacing w:after="0" w:line="276" w:lineRule="auto"/>
              <w:jc w:val="center"/>
            </w:pPr>
            <w:r>
              <w:rPr>
                <w:rFonts w:ascii="David" w:hAnsi="David" w:cs="David" w:eastAsia="David"/>
                <w:b/>
                <w:sz w:val="24"/>
                <w:u w:val="none"/>
                <w:rtl/>
                <w:bCs/>
                <w:szCs w:val="24"/>
              </w:rPr>
              <w:t>סולומון טקה, עו"ד</w:t>
            </w:r>
          </w:p>
          <w:p>
            <w:pPr>
              <w:bidi/>
              <w:spacing w:after="0" w:line="276" w:lineRule="auto"/>
              <w:jc w:val="center"/>
            </w:pPr>
            <w:r>
              <w:rPr>
                <w:rFonts w:ascii="David" w:hAnsi="David" w:cs="David" w:eastAsia="David"/>
                <w:b/>
                <w:sz w:val="24"/>
                <w:u w:val="none"/>
                <w:rtl/>
                <w:bCs/>
                <w:szCs w:val="24"/>
              </w:rPr>
              <w:t>ב"כ המבקשת</w:t>
            </w:r>
          </w:p>
        </w:tc>
      </w:tr>
    </w:tbl>
    <w:sectPr w:rsidR="00FC693F" w:rsidRPr="0006063C" w:rsidSect="00034616">
      <w:pgSz w:w="11906" w:h="16838"/>
      <w:pgMar w:top="1020" w:right="141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