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40" w:before="240" w:line="340" w:lineRule="auto"/>
        <w:jc w:val="center"/>
      </w:pPr>
      <w:r>
        <w:rPr>
          <w:rFonts w:ascii="David" w:cs="David" w:eastAsia="David" w:hAnsi="David"/>
          <w:b/>
          <w:bCs/>
          <w:sz w:val="30"/>
          <w:szCs w:val="30"/>
          <w:u w:val="single"/>
          <w:rtl/>
        </w:rPr>
        <w:t xml:space="preserve">הנחיות מילוי והערות מקצועיות</w:t>
      </w:r>
    </w:p>
    <w:p>
      <w:pPr>
        <w:bidi/>
        <w:spacing w:after="200" w:line="340" w:lineRule="auto"/>
        <w:jc w:val="center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מסמך פנימי - לא להגשה</w:t>
      </w:r>
    </w:p>
    <w:p>
      <w:pPr>
        <w:bidi/>
        <w:spacing w:after="60" w:line="34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כל השדות להשלמה בכתב התביעה מסומנים </w:t>
      </w:r>
      <w:r>
        <w:rPr>
          <w:rFonts w:ascii="David" w:cs="David" w:eastAsia="David" w:hAnsi="David"/>
          <w:sz w:val="24"/>
          <w:szCs w:val="24"/>
          <w:highlight w:val="yellow"/>
          <w:highlightCs w:val="yellow"/>
          <w:rtl/>
        </w:rPr>
        <w:t xml:space="preserve">[בסוגריים ובהדגשה צהובה]</w:t>
      </w:r>
      <w:r>
        <w:rPr>
          <w:rFonts w:ascii="David" w:cs="David" w:eastAsia="David" w:hAnsi="David"/>
          <w:sz w:val="24"/>
          <w:szCs w:val="24"/>
          <w:rtl/>
        </w:rPr>
        <w:t xml:space="preserve">. יש להסיר את ההדגשה לאחר המילוי.</w:t>
      </w:r>
    </w:p>
    <w:p>
      <w:pPr>
        <w:keepNext/>
        <w:bidi/>
        <w:spacing w:after="120" w:before="240" w:line="34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א. לפני ההגשה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חובת בקשה ליישוב סכסוך:</w:t>
      </w:r>
      <w:r>
        <w:rPr>
          <w:rFonts w:ascii="David" w:cs="David" w:eastAsia="David" w:hAnsi="David"/>
          <w:sz w:val="24"/>
          <w:szCs w:val="24"/>
          <w:rtl/>
        </w:rPr>
        <w:t xml:space="preserve"> לפי חוק להסדר התדיינויות בסכסוכי משפחה, התשע"ה-2014, אין להגיש את התביעה לפני הגשת בקשה ליישוב סכסוך, פגישות המהו"ת ותום תקופת העיכוב. כדאי להגיש את הבקשה מהר, לפני שהנתבע יקדים.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סמכות מקומית:</w:t>
      </w:r>
      <w:r>
        <w:rPr>
          <w:rFonts w:ascii="David" w:cs="David" w:eastAsia="David" w:hAnsi="David"/>
          <w:sz w:val="24"/>
          <w:szCs w:val="24"/>
          <w:rtl/>
        </w:rPr>
        <w:t xml:space="preserve"> בית הדין שבתחומו נמצאת הדירה המשותפת (מקום מגורי הנתבע והמגורים המשותפים האחרונים), ולא בהכרח נתניה.</w:t>
      </w:r>
    </w:p>
    <w:p>
      <w:pPr>
        <w:keepNext/>
        <w:bidi/>
        <w:spacing w:after="120" w:before="240" w:line="34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ב. הוכחת הנישואין (אתיופיה, ללא תעודה)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חשוב:</w:t>
      </w:r>
      <w:r>
        <w:rPr>
          <w:rFonts w:ascii="David" w:cs="David" w:eastAsia="David" w:hAnsi="David"/>
          <w:sz w:val="24"/>
          <w:szCs w:val="24"/>
          <w:rtl/>
        </w:rPr>
        <w:t xml:space="preserve"> לפי סעיף 3 לחוק מרשם האוכלוסין, התשכ"ה-1965, רישום המצב האישי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אינו</w:t>
      </w:r>
      <w:r>
        <w:rPr>
          <w:rFonts w:ascii="David" w:cs="David" w:eastAsia="David" w:hAnsi="David"/>
          <w:sz w:val="24"/>
          <w:szCs w:val="24"/>
          <w:rtl/>
        </w:rPr>
        <w:t xml:space="preserve"> ראיה לכאורה לנכונותו. לכן הרישום במשרד הפנים תומך בטענה אך אינו מכריע בה לבדו.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הראיה העיקרית תהיה הודאת שני הצדדים בדיון וחיים משותפים עשרות שנים עם שבעה ילדים. כדאי לברר מראש מי ערך את הנישואין (קייס / אחר), היכן ומתי, ואם יש עדים או קרובים שנכחו בהם. בית הדין עשוי לברר זאת, ובדרך כלל יסדר גט בכל מקרה.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תמצית רישום ממרשם האוכלוסין (נספח 1) ניתן להפיק בלשכת רשות האוכלוסין או באתר gov.il.</w:t>
      </w:r>
    </w:p>
    <w:p>
      <w:pPr>
        <w:keepNext/>
        <w:bidi/>
        <w:spacing w:after="120" w:before="240" w:line="34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ג. שדות להשלמה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פרטי הצדדים וב"כ; שנת הנישואין; פרטי הדירה (כתובת, גוש, חלקה, תת חלקה). אם יש משכנתא, להוסיף משפט בסעיף 3.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סעיף 4 (האלימות):</w:t>
      </w:r>
      <w:r>
        <w:rPr>
          <w:rFonts w:ascii="David" w:cs="David" w:eastAsia="David" w:hAnsi="David"/>
          <w:sz w:val="24"/>
          <w:szCs w:val="24"/>
          <w:rtl/>
        </w:rPr>
        <w:t xml:space="preserve"> הסעיף החשוב ביותר. הוא מבסס את עילת הגירושין ואת ההדרה, שעליה נשענים דמי השימוש למפרע. לפרט אירועים, מועדים משוערים ועדים, בקיצור.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חודש ושנת העזיבה (סעיף 5); פרטי הליך צו ההרחקה ותוצאתו (סעיף 7); הערכת דמי השכירות והחישוב (סעיף 17).</w:t>
      </w:r>
    </w:p>
    <w:p>
      <w:pPr>
        <w:keepNext/>
        <w:bidi/>
        <w:spacing w:after="120" w:before="240" w:line="34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ד. סיכונים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דמי שימוש למפרע:</w:t>
      </w:r>
      <w:r>
        <w:rPr>
          <w:rFonts w:ascii="David" w:cs="David" w:eastAsia="David" w:hAnsi="David"/>
          <w:sz w:val="24"/>
          <w:szCs w:val="24"/>
          <w:rtl/>
        </w:rPr>
        <w:t xml:space="preserve"> בדרך כלל נפסקים רק ממועד הדרישה או התביעה. הסיכוי לשבע השנים תלוי בהוכחת עזיבה כפויה. לכן נכלל סעד חלופי ממועד התביעה (סעד 18.4).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קיזוז משכנתא:</w:t>
      </w:r>
      <w:r>
        <w:rPr>
          <w:rFonts w:ascii="David" w:cs="David" w:eastAsia="David" w:hAnsi="David"/>
          <w:sz w:val="24"/>
          <w:szCs w:val="24"/>
          <w:rtl/>
        </w:rPr>
        <w:t xml:space="preserve"> אם הנתבע שילם לבדו את המשכנתא, צפוי שיבקש לקזז מחצית מהתשלומים.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כתובה ואיזון משאבים לא נכרכו:</w:t>
      </w:r>
      <w:r>
        <w:rPr>
          <w:rFonts w:ascii="David" w:cs="David" w:eastAsia="David" w:hAnsi="David"/>
          <w:sz w:val="24"/>
          <w:szCs w:val="24"/>
          <w:rtl/>
        </w:rPr>
        <w:t xml:space="preserve"> הנתבע רשאי להגיש אותם לבית המשפט לענייני משפחה. אם יש פנסיה או חסכונות משמעותיים, כדאי לשקול לכרוך את איזון המשאבים.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הפניות פנימיות</w:t>
      </w:r>
      <w:r>
        <w:rPr>
          <w:rFonts w:ascii="David" w:cs="David" w:eastAsia="David" w:hAnsi="David"/>
          <w:sz w:val="24"/>
          <w:szCs w:val="24"/>
          <w:rtl/>
        </w:rPr>
        <w:t xml:space="preserve"> (סעיפים 4, 5, 7, 17 וסעד 18.4) נכונות לגרסה זו. אם יתווספו או יימחקו סעיפים, יש לעדכן אותן.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David" w:cs="David" w:eastAsia="David" w:hAnsi="David"/>
        <w:sz w:val="20"/>
        <w:szCs w:val="20"/>
        <w:rtl/>
      </w:rPr>
      <w:t xml:space="preserve">עמוד </w:t>
    </w:r>
    <w:r>
      <w:rPr>
        <w:rFonts w:ascii="David" w:cs="David" w:eastAsia="David" w:hAnsi="David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David" w:cs="David" w:eastAsia="David" w:hAnsi="David"/>
        <w:sz w:val="20"/>
        <w:szCs w:val="20"/>
        <w:rtl/>
      </w:rPr>
      <w:t xml:space="preserve"> מתוך </w:t>
    </w:r>
    <w:r>
      <w:rPr>
        <w:rFonts w:ascii="David" w:cs="David" w:eastAsia="David" w:hAnsi="David"/>
        <w:sz w:val="20"/>
        <w:szCs w:val="20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567" w:hanging="567"/>
      </w:pPr>
    </w:lvl>
    <w:lvl w:ilvl="1" w15:tentative="1">
      <w:start w:val="1"/>
      <w:numFmt w:val="decimal"/>
      <w:suff w:val="tab"/>
      <w:lvlText w:val="%1.%2."/>
      <w:lvlJc w:val="star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2026-10-12T13:46:02.516Z</dcterms:created>
  <dcterms:modified xsi:type="dcterms:W3CDTF">2026-10-12T13:46:02.516Z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