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start"/>
            </w:pPr>
            <w:r>
              <w:rPr>
                <w:rFonts w:ascii="David" w:cs="David" w:eastAsia="David" w:hAnsi="David"/>
                <w:b/>
                <w:bCs/>
                <w:i w:val="false"/>
                <w:iCs w:val="false"/>
                <w:sz w:val="26"/>
                <w:szCs w:val="26"/>
                <w:rtl/>
              </w:rPr>
              <w:t xml:space="preserve">בבית משפט השלום בפתח תקווה</w:t>
            </w:r>
          </w:p>
        </w:tc>
        <w:tc>
          <w:tcPr>
            <w:tcW w:type="dxa" w:w="4536"/>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6"/>
                <w:szCs w:val="26"/>
                <w:rtl/>
              </w:rPr>
              <w:t xml:space="preserve">ת"א ______________</w:t>
            </w:r>
          </w:p>
        </w:tc>
      </w:tr>
    </w:tbl>
    <w:p>
      <w:pPr>
        <w:bidi/>
        <w:spacing w:after="120" w:before="0" w:line="360" w:lineRule="auto"/>
        <w:jc w:val="both"/>
      </w:pP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עמידר, החברה הלאומית לשיכון בישראל בע"מ, ח.פ. 520017393</w:t>
            </w:r>
          </w:p>
          <w:p>
            <w:pPr>
              <w:bidi/>
              <w:spacing w:line="300" w:lineRule="auto"/>
              <w:jc w:val="start"/>
            </w:pPr>
            <w:r>
              <w:rPr>
                <w:rFonts w:ascii="David" w:cs="David" w:eastAsia="David" w:hAnsi="David"/>
                <w:b w:val="false"/>
                <w:bCs w:val="false"/>
                <w:i w:val="false"/>
                <w:iCs w:val="false"/>
                <w:sz w:val="24"/>
                <w:szCs w:val="24"/>
                <w:rtl/>
              </w:rPr>
              <w:t xml:space="preserve">ע"י ב"כ עוה"ד ליאור סיגון (מ.ר. 57413) ו/או ג'וזף דוד (מ.ר. 82574) ואח', מרח' מצדה 9, בני ברק</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התובעת</w:t>
            </w:r>
          </w:p>
        </w:tc>
      </w:tr>
    </w:tbl>
    <w:p>
      <w:pPr>
        <w:bidi/>
        <w:spacing w:after="100" w:before="100"/>
        <w:jc w:val="center"/>
      </w:pPr>
      <w:r>
        <w:rPr>
          <w:rFonts w:ascii="David" w:cs="David" w:eastAsia="David" w:hAnsi="David"/>
          <w:b/>
          <w:bCs/>
          <w:i w:val="false"/>
          <w:iCs w:val="false"/>
          <w:sz w:val="24"/>
          <w:szCs w:val="24"/>
          <w:rtl/>
        </w:rPr>
        <w:t xml:space="preserve">- נ ג ד -</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572"/>
        <w:gridCol w:w="1500"/>
      </w:tblGrid>
      <w:tr>
        <w:tc>
          <w:tcPr>
            <w:tcW w:type="dxa" w:w="7572"/>
            <w:tcBorders>
              <w:top w:val="none" w:color="FFFFFF" w:sz="0"/>
              <w:left w:val="none" w:color="FFFFFF" w:sz="0"/>
              <w:bottom w:val="none" w:color="FFFFFF" w:sz="0"/>
              <w:right w:val="none" w:color="FFFFFF" w:sz="0"/>
            </w:tcBorders>
            <w:tcMar>
              <w:top w:type="dxa" w:w="40"/>
              <w:left w:type="dxa" w:w="0"/>
              <w:bottom w:type="dxa" w:w="40"/>
              <w:right w:type="dxa" w:w="0"/>
            </w:tcMar>
          </w:tcPr>
          <w:p>
            <w:pPr>
              <w:bidi/>
              <w:spacing w:line="300" w:lineRule="auto"/>
              <w:jc w:val="start"/>
            </w:pPr>
            <w:r>
              <w:rPr>
                <w:rFonts w:ascii="David" w:cs="David" w:eastAsia="David" w:hAnsi="David"/>
                <w:b/>
                <w:bCs/>
                <w:i w:val="false"/>
                <w:iCs w:val="false"/>
                <w:sz w:val="24"/>
                <w:szCs w:val="24"/>
                <w:rtl/>
              </w:rPr>
              <w:t xml:space="preserve">טדילה וונדימאג'ן, ת.ז. 303214373, מרח' צה"ל 72/6, פתח תקווה; טל': 050-2213355</w:t>
            </w:r>
          </w:p>
          <w:p>
            <w:pPr>
              <w:bidi/>
              <w:spacing w:line="300" w:lineRule="auto"/>
              <w:jc w:val="start"/>
            </w:pPr>
            <w:r>
              <w:rPr>
                <w:rFonts w:ascii="David" w:cs="David" w:eastAsia="David" w:hAnsi="David"/>
                <w:b w:val="false"/>
                <w:bCs w:val="false"/>
                <w:i w:val="false"/>
                <w:iCs w:val="false"/>
                <w:sz w:val="24"/>
                <w:szCs w:val="24"/>
                <w:rtl/>
              </w:rPr>
              <w:t xml:space="preserve">ע"י ב"כ עו"ד ____________________, מ.ר. __________</w:t>
            </w:r>
          </w:p>
          <w:p>
            <w:pPr>
              <w:bidi/>
              <w:spacing w:line="300" w:lineRule="auto"/>
              <w:jc w:val="start"/>
            </w:pPr>
            <w:r>
              <w:rPr>
                <w:rFonts w:ascii="David" w:cs="David" w:eastAsia="David" w:hAnsi="David"/>
                <w:b w:val="false"/>
                <w:bCs w:val="false"/>
                <w:i w:val="false"/>
                <w:iCs w:val="false"/>
                <w:sz w:val="24"/>
                <w:szCs w:val="24"/>
                <w:rtl/>
              </w:rPr>
              <w:t xml:space="preserve">מרח' ____________________; טל': ____________; דוא"ל: ____________</w:t>
            </w:r>
          </w:p>
        </w:tc>
        <w:tc>
          <w:tcPr>
            <w:tcW w:type="dxa" w:w="1500"/>
            <w:tcBorders>
              <w:top w:val="none" w:color="FFFFFF" w:sz="0"/>
              <w:left w:val="none" w:color="FFFFFF" w:sz="0"/>
              <w:bottom w:val="none" w:color="FFFFFF" w:sz="0"/>
              <w:right w:val="none" w:color="FFFFFF" w:sz="0"/>
            </w:tcBorders>
            <w:tcMar>
              <w:top w:type="dxa" w:w="40"/>
              <w:left w:type="dxa" w:w="0"/>
              <w:bottom w:type="dxa" w:w="40"/>
              <w:right w:type="dxa" w:w="0"/>
            </w:tcMar>
          </w:tcPr>
          <w:p>
            <w:pPr>
              <w:bidi/>
              <w:jc w:val="end"/>
            </w:pPr>
            <w:r>
              <w:rPr>
                <w:rFonts w:ascii="David" w:cs="David" w:eastAsia="David" w:hAnsi="David"/>
                <w:b/>
                <w:bCs/>
                <w:i w:val="false"/>
                <w:iCs w:val="false"/>
                <w:sz w:val="24"/>
                <w:szCs w:val="24"/>
                <w:rtl/>
              </w:rPr>
              <w:t xml:space="preserve">הנתבעת</w:t>
            </w:r>
          </w:p>
        </w:tc>
      </w:tr>
    </w:tbl>
    <w:p>
      <w:pPr>
        <w:keepNext/>
        <w:keepLines/>
        <w:bidi/>
        <w:spacing w:after="200" w:before="240" w:line="360" w:lineRule="auto"/>
        <w:jc w:val="center"/>
      </w:pPr>
      <w:r>
        <w:rPr>
          <w:rFonts w:ascii="David" w:cs="David" w:eastAsia="David" w:hAnsi="David"/>
          <w:b/>
          <w:bCs/>
          <w:i w:val="false"/>
          <w:iCs w:val="false"/>
          <w:sz w:val="32"/>
          <w:szCs w:val="32"/>
          <w:u w:val="single"/>
          <w:rtl/>
        </w:rPr>
        <w:t xml:space="preserve">כתב הגנה</w:t>
      </w:r>
    </w:p>
    <w:p>
      <w:pPr>
        <w:bidi/>
        <w:spacing w:after="80" w:before="0" w:line="360" w:lineRule="auto"/>
        <w:jc w:val="both"/>
      </w:pPr>
      <w:r>
        <w:rPr>
          <w:rFonts w:ascii="David" w:cs="David" w:eastAsia="David" w:hAnsi="David"/>
          <w:b/>
          <w:bCs/>
          <w:i w:val="false"/>
          <w:iCs w:val="false"/>
          <w:sz w:val="24"/>
          <w:szCs w:val="24"/>
          <w:rtl/>
        </w:rPr>
        <w:t xml:space="preserve">מהות התביעה: </w:t>
      </w:r>
      <w:r>
        <w:rPr>
          <w:rFonts w:ascii="David" w:cs="David" w:eastAsia="David" w:hAnsi="David"/>
          <w:b w:val="false"/>
          <w:bCs w:val="false"/>
          <w:i w:val="false"/>
          <w:iCs w:val="false"/>
          <w:sz w:val="24"/>
          <w:szCs w:val="24"/>
          <w:rtl/>
        </w:rPr>
        <w:t xml:space="preserve">כספית. סכום התביעה: 36,533.38 ₪.</w:t>
      </w:r>
    </w:p>
    <w:p>
      <w:pPr>
        <w:bidi/>
        <w:spacing w:after="80" w:before="0" w:line="360" w:lineRule="auto"/>
        <w:jc w:val="both"/>
      </w:pPr>
      <w:r>
        <w:rPr>
          <w:rFonts w:ascii="David" w:cs="David" w:eastAsia="David" w:hAnsi="David"/>
          <w:b/>
          <w:bCs/>
          <w:i w:val="false"/>
          <w:iCs w:val="false"/>
          <w:sz w:val="24"/>
          <w:szCs w:val="24"/>
          <w:rtl/>
        </w:rPr>
        <w:t xml:space="preserve">מסלול הדיון: </w:t>
      </w:r>
      <w:r>
        <w:rPr>
          <w:rFonts w:ascii="David" w:cs="David" w:eastAsia="David" w:hAnsi="David"/>
          <w:b w:val="false"/>
          <w:bCs w:val="false"/>
          <w:i w:val="false"/>
          <w:iCs w:val="false"/>
          <w:sz w:val="24"/>
          <w:szCs w:val="24"/>
          <w:rtl/>
        </w:rPr>
        <w:t xml:space="preserve">דיון מהיר (תקנה 78(א)(1) לתקנות סדר הדין האזרחי, התשע"ט-2018), כפי שמצהירה התובעת בנספח 6 לכתב התביעה.</w:t>
      </w:r>
    </w:p>
    <w:p>
      <w:pPr>
        <w:bidi/>
        <w:spacing w:after="80" w:before="0" w:line="360" w:lineRule="auto"/>
        <w:jc w:val="both"/>
      </w:pPr>
      <w:r>
        <w:rPr>
          <w:rFonts w:ascii="David" w:cs="David" w:eastAsia="David" w:hAnsi="David"/>
          <w:b/>
          <w:bCs/>
          <w:i w:val="false"/>
          <w:iCs w:val="false"/>
          <w:sz w:val="24"/>
          <w:szCs w:val="24"/>
          <w:rtl/>
        </w:rPr>
        <w:t xml:space="preserve">מועד המצאת כתב התביעה לנתבעת: </w:t>
      </w:r>
      <w:r>
        <w:rPr>
          <w:rFonts w:ascii="David" w:cs="David" w:eastAsia="David" w:hAnsi="David"/>
          <w:b w:val="false"/>
          <w:bCs w:val="false"/>
          <w:i w:val="false"/>
          <w:iCs w:val="false"/>
          <w:sz w:val="24"/>
          <w:szCs w:val="24"/>
          <w:rtl/>
        </w:rPr>
        <w:t xml:space="preserve">יום 21.6.2026.</w:t>
      </w:r>
    </w:p>
    <w:p>
      <w:pPr>
        <w:bidi/>
        <w:spacing w:after="80" w:before="0" w:line="360" w:lineRule="auto"/>
        <w:jc w:val="both"/>
      </w:pPr>
      <w:r>
        <w:rPr>
          <w:rFonts w:ascii="David" w:cs="David" w:eastAsia="David" w:hAnsi="David"/>
          <w:b/>
          <w:bCs/>
          <w:i w:val="false"/>
          <w:iCs w:val="false"/>
          <w:sz w:val="24"/>
          <w:szCs w:val="24"/>
          <w:rtl/>
        </w:rPr>
        <w:t xml:space="preserve">מועד אחרון להגשת כתב ההגנה: </w:t>
      </w:r>
      <w:r>
        <w:rPr>
          <w:rFonts w:ascii="David" w:cs="David" w:eastAsia="David" w:hAnsi="David"/>
          <w:b w:val="false"/>
          <w:bCs w:val="false"/>
          <w:i w:val="false"/>
          <w:iCs w:val="false"/>
          <w:sz w:val="24"/>
          <w:szCs w:val="24"/>
          <w:rtl/>
        </w:rPr>
        <w:t xml:space="preserve">יום 4.9.2026.</w:t>
      </w:r>
    </w:p>
    <w:p>
      <w:pPr>
        <w:bidi/>
        <w:spacing w:after="80" w:before="0" w:line="360" w:lineRule="auto"/>
        <w:jc w:val="both"/>
      </w:pPr>
      <w:r>
        <w:rPr>
          <w:rFonts w:ascii="David" w:cs="David" w:eastAsia="David" w:hAnsi="David"/>
          <w:b/>
          <w:bCs/>
          <w:i w:val="false"/>
          <w:iCs w:val="false"/>
          <w:sz w:val="24"/>
          <w:szCs w:val="24"/>
          <w:rtl/>
        </w:rPr>
        <w:t xml:space="preserve">דבר קיומו של הליך נוסף: </w:t>
      </w:r>
      <w:r>
        <w:rPr>
          <w:rFonts w:ascii="David" w:cs="David" w:eastAsia="David" w:hAnsi="David"/>
          <w:b w:val="false"/>
          <w:bCs w:val="false"/>
          <w:i w:val="false"/>
          <w:iCs w:val="false"/>
          <w:sz w:val="24"/>
          <w:szCs w:val="24"/>
          <w:rtl/>
        </w:rPr>
        <w:t xml:space="preserve">ת"א 12718-06-26, תביעה לסילוק יד בין אותם בעלי דין, שלפי כתב התביעה הוגשה "בגין אותה מסכת עובדתית".</w:t>
      </w:r>
    </w:p>
    <w:p>
      <w:pPr>
        <w:bidi/>
        <w:spacing w:after="120" w:before="200" w:line="360" w:lineRule="auto"/>
        <w:jc w:val="both"/>
      </w:pPr>
      <w:r>
        <w:rPr>
          <w:rFonts w:ascii="David" w:cs="David" w:eastAsia="David" w:hAnsi="David"/>
          <w:b w:val="false"/>
          <w:bCs w:val="false"/>
          <w:i w:val="false"/>
          <w:iCs w:val="false"/>
          <w:sz w:val="24"/>
          <w:szCs w:val="24"/>
          <w:rtl/>
        </w:rPr>
        <w:t xml:space="preserve">הנתבעת מתכבדת להגיש כתב הגנה מטעמה. </w:t>
      </w:r>
      <w:r>
        <w:rPr>
          <w:rFonts w:ascii="David" w:cs="David" w:eastAsia="David" w:hAnsi="David"/>
          <w:b/>
          <w:bCs/>
          <w:i w:val="false"/>
          <w:iCs w:val="false"/>
          <w:sz w:val="24"/>
          <w:szCs w:val="24"/>
          <w:rtl/>
        </w:rPr>
        <w:t xml:space="preserve">כל הטענות הנטענות בכתב התביעה מוכחשות, למעט אם צוין במפורש אחרת.</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שני - עיקר הטענות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bCs/>
          <w:i w:val="false"/>
          <w:iCs w:val="false"/>
          <w:sz w:val="24"/>
          <w:szCs w:val="24"/>
          <w:rtl/>
        </w:rPr>
        <w:t xml:space="preserve">פיצול סעדים.</w:t>
      </w:r>
      <w:r>
        <w:rPr>
          <w:rFonts w:ascii="David" w:cs="David" w:eastAsia="David" w:hAnsi="David"/>
          <w:b w:val="false"/>
          <w:bCs w:val="false"/>
          <w:i w:val="false"/>
          <w:iCs w:val="false"/>
          <w:sz w:val="24"/>
          <w:szCs w:val="24"/>
          <w:rtl/>
        </w:rPr>
        <w:t xml:space="preserve"> התובעת מציינת בכתב תביעתה כי תלויה ועומדת נגד הנתבעת תביעה לסילוק יד, ת"א 12718-06-26, "בגין אותה מסכת עובדתית". תקנות 24 ו-25(ב) לתקנות סדר הדין האזרחי, התשע"ט-2018 מחייבות לכלול בכתב תביעה אחד את כל העילות והסעדים בשל אותה מסכת עובדתית, זולת אם ניתנה רשות לפיצול, ורשות כזו לא נטענה ולא הוצגה; ואף ההחלטה על איחוד הדיון בין ההליכים אין בה משום רשות בדיעבד. דין התביעה להימחק.</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bCs/>
          <w:i w:val="false"/>
          <w:iCs w:val="false"/>
          <w:sz w:val="24"/>
          <w:szCs w:val="24"/>
          <w:rtl/>
        </w:rPr>
        <w:t xml:space="preserve">אי-צירוף מסמכים.</w:t>
      </w:r>
      <w:r>
        <w:rPr>
          <w:rFonts w:ascii="David" w:cs="David" w:eastAsia="David" w:hAnsi="David"/>
          <w:b w:val="false"/>
          <w:bCs w:val="false"/>
          <w:i w:val="false"/>
          <w:iCs w:val="false"/>
          <w:sz w:val="24"/>
          <w:szCs w:val="24"/>
          <w:rtl/>
        </w:rPr>
        <w:t xml:space="preserve"> התביעה נשענת על טענה אחת: כי ועדה מוסמכת שללה מן הנתבעת מעמד של דיירת ממשיכה. ההחלטה עצמה לא צורפה, וכמוה גם ההתראות הנטענות בסעיף 2 לכתב התביעה, בניגוד לתקנה 79(א)(2).</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bCs/>
          <w:i w:val="false"/>
          <w:iCs w:val="false"/>
          <w:sz w:val="24"/>
          <w:szCs w:val="24"/>
          <w:rtl/>
        </w:rPr>
        <w:t xml:space="preserve">הנתבעת אינה פולשת אלא דיירת ממשיכה.</w:t>
      </w:r>
      <w:r>
        <w:rPr>
          <w:rFonts w:ascii="David" w:cs="David" w:eastAsia="David" w:hAnsi="David"/>
          <w:b w:val="false"/>
          <w:bCs w:val="false"/>
          <w:i w:val="false"/>
          <w:iCs w:val="false"/>
          <w:sz w:val="24"/>
          <w:szCs w:val="24"/>
          <w:rtl/>
        </w:rPr>
        <w:t xml:space="preserve"> היא בתו של הדייר החוזי, מר מנבר וונדימאג'ן ז"ל, שהתגורר בדירה מיום 8.8.1996 ועד לפטירתו ביום 16.2.2024. הנתבעת התגוררה עמו בדירה ביום 1.8.2009, והוסיפה להתגורר בה ברציפות למעלה מארבע שנים עד לפטירתו, ובשנותיו האחרונות טיפלה בו. בכך היא "דייר ממשיך" כהגדרתו בסעיף 1 לחוק זכויות הדייר בדיור הציבורי, התשנ"ח-1998, ובכך מתקיים בה גם תנאי הוראת המעבר, שבגדרה מוסיף לחול עליה נוסחו הקודם של סעיף 3 לחוק, המקנה לדייר ממשיך זכות להוסיף ולהתגורר בדירה. ודוק, זהו התנאי שהתובעת עצמה הציבה בראש טבלת ביקורי המעגל שבנספח 4: "ביקורי מעגל לדייר הממשיך מתאריך 1.8.09 ועד מועד הבקשה ולא פחות מ-4 שנות מגורים רצופות". גם על פי אמת המידה שבחרה לעצמה, אפוא, החזקת הנתבעת בדירה כדין.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bCs/>
          <w:i w:val="false"/>
          <w:iCs w:val="false"/>
          <w:sz w:val="24"/>
          <w:szCs w:val="24"/>
          <w:rtl/>
        </w:rPr>
        <w:t xml:space="preserve">גם לשיטת התובעת אין מדובר בהחזקה שלא כדין.</w:t>
      </w:r>
      <w:r>
        <w:rPr>
          <w:rFonts w:ascii="David" w:cs="David" w:eastAsia="David" w:hAnsi="David"/>
          <w:b w:val="false"/>
          <w:bCs w:val="false"/>
          <w:i w:val="false"/>
          <w:iCs w:val="false"/>
          <w:sz w:val="24"/>
          <w:szCs w:val="24"/>
          <w:rtl/>
        </w:rPr>
        <w:t xml:space="preserve"> סעיף 3(א) לחוק אינו הופך דייר ממשיך שאינו זכאי עצמאית לפולש, אלא מחייבו לפנות את הדירה "בתוך תשעה חודשים מהמועד שבו נמסרה לו הודעה מאת משרד הבינוי והשיכון, בדבר אי-זכאותו לדירה ציבורית לפי הכללים". הודעה כזו לא נמסרה ואיננה בין נספחי כתב התביעה; כל עוד לא נמסרה, ובמשך תשעה חודשים לאחריה, החזקת הנתבעת כדין ולא קמה עילה לדמי שימוש ראויים.</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bCs/>
          <w:i w:val="false"/>
          <w:iCs w:val="false"/>
          <w:sz w:val="24"/>
          <w:szCs w:val="24"/>
          <w:rtl/>
        </w:rPr>
        <w:t xml:space="preserve">התובעת עצמה לא ראתה בנתבעת פולשת.</w:t>
      </w:r>
      <w:r>
        <w:rPr>
          <w:rFonts w:ascii="David" w:cs="David" w:eastAsia="David" w:hAnsi="David"/>
          <w:b w:val="false"/>
          <w:bCs w:val="false"/>
          <w:i w:val="false"/>
          <w:iCs w:val="false"/>
          <w:sz w:val="24"/>
          <w:szCs w:val="24"/>
          <w:rtl/>
        </w:rPr>
        <w:t xml:space="preserve"> ביום 3.7.2024, בידיעה על הפטירה, רשמה נציגתה כי סטטוס החוזה "פעיל", שכר הדירה נטו 221.19 ₪, הנחת המדרוג בתוקף עד 30.9.2024 ו"חוב בתביעה" 0; והתובעת אף גבתה תשלומים בפועל.</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bCs/>
          <w:i w:val="false"/>
          <w:iCs w:val="false"/>
          <w:sz w:val="24"/>
          <w:szCs w:val="24"/>
          <w:rtl/>
        </w:rPr>
        <w:t xml:space="preserve">ההחלטה בטלה והסכום לא הוכח.</w:t>
      </w:r>
      <w:r>
        <w:rPr>
          <w:rFonts w:ascii="David" w:cs="David" w:eastAsia="David" w:hAnsi="David"/>
          <w:b w:val="false"/>
          <w:bCs w:val="false"/>
          <w:i w:val="false"/>
          <w:iCs w:val="false"/>
          <w:sz w:val="24"/>
          <w:szCs w:val="24"/>
          <w:rtl/>
        </w:rPr>
        <w:t xml:space="preserve"> ההחלטה ניתנה ללא הנמקה, ללא שימוע וללא המצאה, על יסוד תשתית הסותרת את עצמה, ומבלי שנבחנה זכאותה העצמאית של הנתבעת; הנתבעת תוקפת אותה בתקיפה עקיפה. אשר לסכום, לא הוצגה חוות דעת, והחיוב החודשי שגזרה התובעת לעצמה גבוה פי שלושה עשר משכר הדירה נטו שהיא עצמה קבעה.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bCs/>
          <w:i w:val="false"/>
          <w:iCs w:val="false"/>
          <w:sz w:val="24"/>
          <w:szCs w:val="24"/>
          <w:rtl/>
        </w:rPr>
        <w:t xml:space="preserve">הסעד המבוקש.</w:t>
      </w:r>
      <w:r>
        <w:rPr>
          <w:rFonts w:ascii="David" w:cs="David" w:eastAsia="David" w:hAnsi="David"/>
          <w:b w:val="false"/>
          <w:bCs w:val="false"/>
          <w:i w:val="false"/>
          <w:iCs w:val="false"/>
          <w:sz w:val="24"/>
          <w:szCs w:val="24"/>
          <w:rtl/>
        </w:rPr>
        <w:t xml:space="preserve"> דין התביעה להידחות. לחלופין, מתבקש פטור מהשבה לפי סעיף 2 לחוק עשיית עושר ולא במשפט, התשל"ט-1979, או העמדת החיוב על דמי השכירות המסובסדים בניכוי התשלומים ששולמו.</w:t>
      </w:r>
    </w:p>
    <w:p>
      <w:pPr>
        <w:keepNext/>
        <w:keepLines/>
        <w:bidi/>
        <w:spacing w:after="100" w:before="140" w:line="360" w:lineRule="auto"/>
        <w:jc w:val="center"/>
      </w:pPr>
      <w:r>
        <w:rPr>
          <w:rFonts w:ascii="David" w:cs="David" w:eastAsia="David" w:hAnsi="David"/>
          <w:b/>
          <w:bCs/>
          <w:i w:val="false"/>
          <w:iCs w:val="false"/>
          <w:sz w:val="26"/>
          <w:szCs w:val="26"/>
          <w:u w:val="single"/>
          <w:rtl/>
        </w:rPr>
        <w:t xml:space="preserve">חלק שלישי - טיעון עובדתי</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bCs/>
          <w:i w:val="false"/>
          <w:iCs w:val="false"/>
          <w:sz w:val="24"/>
          <w:szCs w:val="24"/>
          <w:rtl/>
        </w:rPr>
        <w:t xml:space="preserve">הרקע.</w:t>
      </w:r>
      <w:r>
        <w:rPr>
          <w:rFonts w:ascii="David" w:cs="David" w:eastAsia="David" w:hAnsi="David"/>
          <w:b w:val="false"/>
          <w:bCs w:val="false"/>
          <w:i w:val="false"/>
          <w:iCs w:val="false"/>
          <w:sz w:val="24"/>
          <w:szCs w:val="24"/>
          <w:rtl/>
        </w:rPr>
        <w:t xml:space="preserve"> הדירה ברח' צה"ל 72/6 בפתח תקווה הושכרה לאביה המנוח של הנתבעת על פי חוזה מיום 29.8.1996. המנוח נפטר ביום 16.2.2024. הנתבעת התגוררה בדירה ביום 1.8.2009 והוסיפה להתגורר בה ברציפות למעלה מארבע שנים עד לפטירתו, ובשנותיו האחרונות, עת היה חולה, טיפלה בו.</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כארבעה חודשים וחצי לאחר הפטירה, ערכה נציגת התובעת ביקור בדירה ורשמה בטופס "סיכום ביקור" (עמ' 38 לכתב התביעה): </w:t>
      </w:r>
      <w:r>
        <w:rPr>
          <w:rFonts w:ascii="David" w:cs="David" w:eastAsia="David" w:hAnsi="David"/>
          <w:b/>
          <w:bCs/>
          <w:i w:val="false"/>
          <w:iCs w:val="false"/>
          <w:sz w:val="24"/>
          <w:szCs w:val="24"/>
          <w:rtl/>
        </w:rPr>
        <w:t xml:space="preserve">"דייר חוזי נפטר, ביקור עם הבת עדן טדלה"</w:t>
      </w:r>
      <w:r>
        <w:rPr>
          <w:rFonts w:ascii="David" w:cs="David" w:eastAsia="David" w:hAnsi="David"/>
          <w:b w:val="false"/>
          <w:bCs w:val="false"/>
          <w:i w:val="false"/>
          <w:iCs w:val="false"/>
          <w:sz w:val="24"/>
          <w:szCs w:val="24"/>
          <w:rtl/>
        </w:rPr>
        <w:t xml:space="preserve">. הבת שנכחה בביקור היא הנתבעת עצמה, ושמה נרשם בטופס שלא כהלכה. באותו טופס נרשם: </w:t>
      </w:r>
      <w:r>
        <w:rPr>
          <w:rFonts w:ascii="David" w:cs="David" w:eastAsia="David" w:hAnsi="David"/>
          <w:b/>
          <w:bCs/>
          <w:i w:val="false"/>
          <w:iCs w:val="false"/>
          <w:sz w:val="24"/>
          <w:szCs w:val="24"/>
          <w:rtl/>
        </w:rPr>
        <w:t xml:space="preserve">"סטטוס חוזה: פעיל"</w:t>
      </w:r>
      <w:r>
        <w:rPr>
          <w:rFonts w:ascii="David" w:cs="David" w:eastAsia="David" w:hAnsi="David"/>
          <w:b w:val="false"/>
          <w:bCs w:val="false"/>
          <w:i w:val="false"/>
          <w:iCs w:val="false"/>
          <w:sz w:val="24"/>
          <w:szCs w:val="24"/>
          <w:rtl/>
        </w:rPr>
        <w:t xml:space="preserve">; "שימוש בפועל: מגורים"; </w:t>
      </w:r>
      <w:r>
        <w:rPr>
          <w:rFonts w:ascii="David" w:cs="David" w:eastAsia="David" w:hAnsi="David"/>
          <w:b/>
          <w:bCs/>
          <w:i w:val="false"/>
          <w:iCs w:val="false"/>
          <w:sz w:val="24"/>
          <w:szCs w:val="24"/>
          <w:rtl/>
        </w:rPr>
        <w:t xml:space="preserve">"שכ"ד נטו: 221.19"</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"מועד סיום הנחה: 30/09/2024"</w:t>
      </w:r>
      <w:r>
        <w:rPr>
          <w:rFonts w:ascii="David" w:cs="David" w:eastAsia="David" w:hAnsi="David"/>
          <w:b w:val="false"/>
          <w:bCs w:val="false"/>
          <w:i w:val="false"/>
          <w:iCs w:val="false"/>
          <w:sz w:val="24"/>
          <w:szCs w:val="24"/>
          <w:rtl/>
        </w:rPr>
        <w:t xml:space="preserve">; </w:t>
      </w:r>
      <w:r>
        <w:rPr>
          <w:rFonts w:ascii="David" w:cs="David" w:eastAsia="David" w:hAnsi="David"/>
          <w:b/>
          <w:bCs/>
          <w:i w:val="false"/>
          <w:iCs w:val="false"/>
          <w:sz w:val="24"/>
          <w:szCs w:val="24"/>
          <w:rtl/>
        </w:rPr>
        <w:t xml:space="preserve">"חוב בתביעה: 0"</w:t>
      </w:r>
      <w:r>
        <w:rPr>
          <w:rFonts w:ascii="David" w:cs="David" w:eastAsia="David" w:hAnsi="David"/>
          <w:b w:val="false"/>
          <w:bCs w:val="false"/>
          <w:i w:val="false"/>
          <w:iCs w:val="false"/>
          <w:sz w:val="24"/>
          <w:szCs w:val="24"/>
          <w:rtl/>
        </w:rPr>
        <w:t xml:space="preserve">.</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23.7.2024 הנפיקה התובעת קבלה על סך 1,355.71 ₪ בגין </w:t>
      </w:r>
      <w:r>
        <w:rPr>
          <w:rFonts w:ascii="David" w:cs="David" w:eastAsia="David" w:hAnsi="David"/>
          <w:b/>
          <w:bCs/>
          <w:i w:val="false"/>
          <w:iCs w:val="false"/>
          <w:sz w:val="24"/>
          <w:szCs w:val="24"/>
          <w:rtl/>
        </w:rPr>
        <w:t xml:space="preserve">שכר דירה</w:t>
      </w:r>
      <w:r>
        <w:rPr>
          <w:rFonts w:ascii="David" w:cs="David" w:eastAsia="David" w:hAnsi="David"/>
          <w:b w:val="false"/>
          <w:bCs w:val="false"/>
          <w:i w:val="false"/>
          <w:iCs w:val="false"/>
          <w:sz w:val="24"/>
          <w:szCs w:val="24"/>
          <w:rtl/>
        </w:rPr>
        <w:t xml:space="preserve"> (קוד 101) לחודשים 02/2024 עד 07/2024, על שם הדייר החוזי המנוח ולחשבונו, כחמישה חודשים לאחר פטירתו, והסכום שולם (נספח א'). ואולם ביום 17.9.2024, לאחר החלטת הוועדה, הוציאה שובר על שם הנתבעת ובו נדרשה לשלם בגין אותם חודשים בתוספת שניים סך 21,730.81 ₪ תחת הכותרת </w:t>
      </w:r>
      <w:r>
        <w:rPr>
          <w:rFonts w:ascii="David" w:cs="David" w:eastAsia="David" w:hAnsi="David"/>
          <w:b/>
          <w:bCs/>
          <w:i w:val="false"/>
          <w:iCs w:val="false"/>
          <w:sz w:val="24"/>
          <w:szCs w:val="24"/>
          <w:rtl/>
        </w:rPr>
        <w:t xml:space="preserve">"דמי שמוש ראויים"</w:t>
      </w:r>
      <w:r>
        <w:rPr>
          <w:rFonts w:ascii="David" w:cs="David" w:eastAsia="David" w:hAnsi="David"/>
          <w:b w:val="false"/>
          <w:bCs w:val="false"/>
          <w:i w:val="false"/>
          <w:iCs w:val="false"/>
          <w:sz w:val="24"/>
          <w:szCs w:val="24"/>
          <w:rtl/>
        </w:rPr>
        <w:t xml:space="preserve"> (קוד 103), כך שהדירה חויבה פעמיים (נספח ב'). ביום 27.3.2025 שילמה הנתבעת 2,911.01 ₪ נוספים על פי שובר שהתובעת שלחה אליה (נספח ג'). אף לפי הכרטסת, מספר חודשי אי-התשלום הוא 12 מתוך למעלה מעשרים וארבעה.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11.</w:t>
      </w:r>
      <w:r>
        <w:rPr>
          <w:rFonts w:ascii="David" w:cs="David" w:eastAsia="David" w:hAnsi="David"/>
          <w:sz w:val="24"/>
          <w:szCs w:val="24"/>
          <w:rtl/>
        </w:rPr>
        <w:tab/>
      </w:r>
      <w:r>
        <w:rPr>
          <w:rFonts w:ascii="David" w:cs="David" w:eastAsia="David" w:hAnsi="David"/>
          <w:b/>
          <w:bCs/>
          <w:i w:val="false"/>
          <w:iCs w:val="false"/>
          <w:sz w:val="24"/>
          <w:szCs w:val="24"/>
          <w:rtl/>
        </w:rPr>
        <w:t xml:space="preserve">פגמי הטופס.</w:t>
      </w:r>
      <w:r>
        <w:rPr>
          <w:rFonts w:ascii="David" w:cs="David" w:eastAsia="David" w:hAnsi="David"/>
          <w:b w:val="false"/>
          <w:bCs w:val="false"/>
          <w:i w:val="false"/>
          <w:iCs w:val="false"/>
          <w:sz w:val="24"/>
          <w:szCs w:val="24"/>
          <w:rtl/>
        </w:rPr>
        <w:t xml:space="preserve"> נספח 4 אינו החלטה אלא טופס שרובו לא מולא: הפרק "נימוקים והמלצות" ריק; הפרק "החלטת הוועדה המחוזית" נושא שתי שורות בכתב יד שאינן קריאות בעותק שהומצא ואין בהן דיון בתנאי החוק; השדה "מצ"ב החלטת ועדה מיום ___" ריק והמסמך שאליו הוא מפנה לא הוצג; והרובריקה שיועדה לסגן מנהל מרכז השירות, שבה אמורים היו להירשם אישורי משרד הבינוי והשיכון והממצאים, נותרה ריקה ובלא חתימה - ובכללה השדות "חסר דירה" ו"מומש סיוע בשכ"ד", שבהם נבחנת זכאותה העצמאית של הנתבעת לדירה ציבורית לפי הכללים, היא החלופה שבסעיף 3(ב) לחוק, אשר בהתקיימה רואים את הדייר הממשיך כמי שבא בנעלי הזכאי לכל דבר ועניין. חובת ההנמקה קבועה בסעיף 2 לחוק לתיקון סדרי המינהל (החלטות והנמקות), התשי"ט-1958; ומכל מקום, ועדה פנימית של התובעת אינה משרד הבינוי והשיכון.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12.</w:t>
      </w:r>
      <w:r>
        <w:rPr>
          <w:rFonts w:ascii="David" w:cs="David" w:eastAsia="David" w:hAnsi="David"/>
          <w:sz w:val="24"/>
          <w:szCs w:val="24"/>
          <w:rtl/>
        </w:rPr>
        <w:tab/>
      </w:r>
      <w:r>
        <w:rPr>
          <w:rFonts w:ascii="David" w:cs="David" w:eastAsia="David" w:hAnsi="David"/>
          <w:b/>
          <w:bCs/>
          <w:i w:val="false"/>
          <w:iCs w:val="false"/>
          <w:sz w:val="24"/>
          <w:szCs w:val="24"/>
          <w:rtl/>
        </w:rPr>
        <w:t xml:space="preserve">התשתית שעליה נשענת ההחלטה סותרת את עצמה.</w:t>
      </w:r>
      <w:r>
        <w:rPr>
          <w:rFonts w:ascii="David" w:cs="David" w:eastAsia="David" w:hAnsi="David"/>
          <w:b w:val="false"/>
          <w:bCs w:val="false"/>
          <w:i w:val="false"/>
          <w:iCs w:val="false"/>
          <w:sz w:val="24"/>
          <w:szCs w:val="24"/>
          <w:rtl/>
        </w:rPr>
        <w:t xml:space="preserve"> מסקנת הטופס נסמכת כולה על טבלת ביקורי המעגל שערכה התובעת לעצמה (עמ' 42), וזו אינה יכולה לשאתה. ביחס לביקור מיום 3.7.2024 נרשם כי הדייר החוזי "גר: כן", ארבעה חודשים וחצי לאחר פטירתו. ולגבי הביקור מיום 18.12.2023 נרשם אצל הדייר הממשיך "לא", בעוד שדוח הביקור לאותו מועד ממש (עמ' 37) קובע: </w:t>
      </w:r>
      <w:r>
        <w:rPr>
          <w:rFonts w:ascii="David" w:cs="David" w:eastAsia="David" w:hAnsi="David"/>
          <w:b/>
          <w:bCs/>
          <w:i w:val="false"/>
          <w:iCs w:val="false"/>
          <w:sz w:val="24"/>
          <w:szCs w:val="24"/>
          <w:rtl/>
        </w:rPr>
        <w:t xml:space="preserve">"נקבע מספר פעמים ביקור בית, הדייר אומר אני אהיה בבית, לא נצא"</w:t>
      </w:r>
      <w:r>
        <w:rPr>
          <w:rFonts w:ascii="David" w:cs="David" w:eastAsia="David" w:hAnsi="David"/>
          <w:b w:val="false"/>
          <w:bCs w:val="false"/>
          <w:i w:val="false"/>
          <w:iCs w:val="false"/>
          <w:sz w:val="24"/>
          <w:szCs w:val="24"/>
          <w:rtl/>
        </w:rPr>
        <w:t xml:space="preserve"> - קרי, קביעה פוזיטיבית על יסוד ביקור שלא נערך. והמוקדם שברישומי הטבלה הוא מיום 11.8.2010, כך שביחס ליום 1.8.2009, נקודת המוצא של אמת המידה, אין בה דבר. הנתבעת לא נשאלה, לא זומנה ולא נשמעה, ורישומים אלה ערכה התובעת לעצמה.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13.</w:t>
      </w:r>
      <w:r>
        <w:rPr>
          <w:rFonts w:ascii="David" w:cs="David" w:eastAsia="David" w:hAnsi="David"/>
          <w:sz w:val="24"/>
          <w:szCs w:val="24"/>
          <w:rtl/>
        </w:rPr>
        <w:tab/>
      </w:r>
      <w:r>
        <w:rPr>
          <w:rFonts w:ascii="David" w:cs="David" w:eastAsia="David" w:hAnsi="David"/>
          <w:b/>
          <w:bCs/>
          <w:i w:val="false"/>
          <w:iCs w:val="false"/>
          <w:sz w:val="24"/>
          <w:szCs w:val="24"/>
          <w:rtl/>
        </w:rPr>
        <w:t xml:space="preserve">תצהיר המנוח מיום 10.11.2021.</w:t>
      </w:r>
      <w:r>
        <w:rPr>
          <w:rFonts w:ascii="David" w:cs="David" w:eastAsia="David" w:hAnsi="David"/>
          <w:b w:val="false"/>
          <w:bCs w:val="false"/>
          <w:i w:val="false"/>
          <w:iCs w:val="false"/>
          <w:sz w:val="24"/>
          <w:szCs w:val="24"/>
          <w:rtl/>
        </w:rPr>
        <w:t xml:space="preserve"> הנטען בסעיף 16 לכתב התביעה נסמך על טופס מודפס (עמ' 35), שעליו החתימה התובעת את המנוח בביקור מטעמה. המנוח, יליד 1943, היה אז כבן שבעים ושמונה; הוא דובר אמהרית, לא ידע קרוא וכתוב ולא שלט בעברית. מי שהחתימה אותו היא גב' נטלי לוגסי, מנהלת תיק הלקוח מטעם התובעת, שאינה דוברת אמהרית; ובדוח הביקור שערכה (עמ' 33) נרשם "ביקור בוצע ב 10/11/21", הוא יום החתימה. ואשר לפרק "אישור חתימה" שבתחתית הטופס, נוסחו המודפס מציע שתי חלופות, "לאחר שקרא/ה אותה" ו"הקראתי לו/ה", ואיש לא סימן איזו מהן התקיימה; אין בטופס זכר למתורגמן, ואין בו כל אינדיקציה שתוכנו הובא לידיעת המנוח בשפה שהבין. גוף הטופס כולו מודפס מראש, והמנוח לא הוסיף בו דבר מלבד חתימתו והתאריך; וסעיף 3 שבו מגלה את תכליתו: כי ההצהרה "לא תאפשר לקרובי לטעון כי גרו איתי בדירה, לרבות לצורך הוכחת משך מגורים בדירה כדי להיחשב 'דיירים ממשיכים'". מסמך שהוחתם כך על אדם שאינו יודע קרוא וכתוב, מבלי שהוכח כי הוסבר לו בשפתו, אין ליתן בו משקל; הנתבעת שומרת על זכותה להתנגד להגשתו ולעתור להוצאתו מן התיק. ומכל מקום, מעמדה של הנתבעת קם לה מכוח החוק והיא לא היתה צד לאותו טופס, ואין אדם מוותר מראש, בטופס שערכה התובעת, על זכות שהחוק מקנה לאחר.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14.</w:t>
      </w:r>
      <w:r>
        <w:rPr>
          <w:rFonts w:ascii="David" w:cs="David" w:eastAsia="David" w:hAnsi="David"/>
          <w:sz w:val="24"/>
          <w:szCs w:val="24"/>
          <w:rtl/>
        </w:rPr>
        <w:tab/>
      </w:r>
      <w:r>
        <w:rPr>
          <w:rFonts w:ascii="David" w:cs="David" w:eastAsia="David" w:hAnsi="David"/>
          <w:b/>
          <w:bCs/>
          <w:i w:val="false"/>
          <w:iCs w:val="false"/>
          <w:sz w:val="24"/>
          <w:szCs w:val="24"/>
          <w:rtl/>
        </w:rPr>
        <w:t xml:space="preserve">חומר הרווחה.</w:t>
      </w:r>
      <w:r>
        <w:rPr>
          <w:rFonts w:ascii="David" w:cs="David" w:eastAsia="David" w:hAnsi="David"/>
          <w:b w:val="false"/>
          <w:bCs w:val="false"/>
          <w:i w:val="false"/>
          <w:iCs w:val="false"/>
          <w:sz w:val="24"/>
          <w:szCs w:val="24"/>
          <w:rtl/>
        </w:rPr>
        <w:t xml:space="preserve"> מצוקת הדיור של הנתבעת מתועדת מזה למעלה מעשור: בשנת 2013 פנתה בכתב אל משרד הבינוי והשיכון בבקשה לפתרון דיור, ותיארה כי אין לה קורת גג משלה וכי היא מתגוררת בשכירות עם שלושת ילדיה. הפנייה נמסרה באמצעות מרכז אלונים, גורם רווחה ושיקום, ואושרה בחותמתו ביום 28.6.2013 (נספח ד'); גורם הרווחה אף צירף המלצתו כי יש להעניק לנתבעת פתרון דיור (נספח ד1). לחומר זה משקל משפטי ישיר, שכן הוא נוגע לזכאותה העצמאית לפי סעיף 3(ב), ובנספח 4 אין אליו כל התייחסות.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15.</w:t>
      </w:r>
      <w:r>
        <w:rPr>
          <w:rFonts w:ascii="David" w:cs="David" w:eastAsia="David" w:hAnsi="David"/>
          <w:sz w:val="24"/>
          <w:szCs w:val="24"/>
          <w:rtl/>
        </w:rPr>
        <w:tab/>
      </w:r>
      <w:r>
        <w:rPr>
          <w:rFonts w:ascii="David" w:cs="David" w:eastAsia="David" w:hAnsi="David"/>
          <w:b/>
          <w:bCs/>
          <w:i w:val="false"/>
          <w:iCs w:val="false"/>
          <w:sz w:val="24"/>
          <w:szCs w:val="24"/>
          <w:rtl/>
        </w:rPr>
        <w:t xml:space="preserve">גובה החיוב.</w:t>
      </w:r>
      <w:r>
        <w:rPr>
          <w:rFonts w:ascii="David" w:cs="David" w:eastAsia="David" w:hAnsi="David"/>
          <w:b w:val="false"/>
          <w:bCs w:val="false"/>
          <w:i w:val="false"/>
          <w:iCs w:val="false"/>
          <w:sz w:val="24"/>
          <w:szCs w:val="24"/>
          <w:rtl/>
        </w:rPr>
        <w:t xml:space="preserve"> התובעת עותרת לסך 36,533.38 ₪, בחיוב חודשי של 2,948.85 ₪, בעוד היא עצמה קבעה באותה תקופה כי שכר הדירה נטו הוא 221.19 ₪. לא הוצגה חוות דעת לשווי, והכרטסת אינה ראיה אלא רישום פנימי; ואת הריבית גובה התובעת מכוח חוזה השכירות, שאת קיומו היא מכחישה.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16.</w:t>
      </w:r>
      <w:r>
        <w:rPr>
          <w:rFonts w:ascii="David" w:cs="David" w:eastAsia="David" w:hAnsi="David"/>
          <w:sz w:val="24"/>
          <w:szCs w:val="24"/>
          <w:rtl/>
        </w:rPr>
        <w:tab/>
      </w:r>
      <w:r>
        <w:rPr>
          <w:rFonts w:ascii="David" w:cs="David" w:eastAsia="David" w:hAnsi="David"/>
          <w:b/>
          <w:bCs/>
          <w:i w:val="false"/>
          <w:iCs w:val="false"/>
          <w:sz w:val="24"/>
          <w:szCs w:val="24"/>
          <w:rtl/>
        </w:rPr>
        <w:t xml:space="preserve">התייחסות לסעיפי כתב התביעה.</w:t>
      </w:r>
      <w:r>
        <w:rPr>
          <w:rFonts w:ascii="David" w:cs="David" w:eastAsia="David" w:hAnsi="David"/>
          <w:b w:val="false"/>
          <w:bCs w:val="false"/>
          <w:i w:val="false"/>
          <w:iCs w:val="false"/>
          <w:sz w:val="24"/>
          <w:szCs w:val="24"/>
          <w:rtl/>
        </w:rPr>
        <w:t xml:space="preserve"> הנטען בסעיפים 1, 5, 6, 7, 13, 14 ו-17 אינו מוכחש ככל שהוא נוגע לזהות הצדדים והדירה, לסמכות ולמועד הפטירה. הנטען בסעיפים 2, 8, 9, 15 ו-16 מוכחש: הנתבעת לא פלשה ואינה מחזיקה שלא כדין, ולא נשלחו אליה התראות. הנטען בסעיפים 3, 4, 10, 11, 12, 18, 19, 21, 22 ו-23 מוכחש מן הטעמים המפורטים לעיל. ואשר לסעיף 20, הדיור הציבורי אכן נועד למי שידה אינה משגת, ותכלית זו מכוונת אל הנתבעת.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17.</w:t>
      </w:r>
      <w:r>
        <w:rPr>
          <w:rFonts w:ascii="David" w:cs="David" w:eastAsia="David" w:hAnsi="David"/>
          <w:sz w:val="24"/>
          <w:szCs w:val="24"/>
          <w:rtl/>
        </w:rPr>
        <w:tab/>
      </w:r>
      <w:r>
        <w:rPr>
          <w:rFonts w:ascii="David" w:cs="David" w:eastAsia="David" w:hAnsi="David"/>
          <w:b/>
          <w:bCs/>
          <w:i w:val="false"/>
          <w:iCs w:val="false"/>
          <w:sz w:val="24"/>
          <w:szCs w:val="24"/>
          <w:rtl/>
        </w:rPr>
        <w:t xml:space="preserve">סעד.</w:t>
      </w:r>
      <w:r>
        <w:rPr>
          <w:rFonts w:ascii="David" w:cs="David" w:eastAsia="David" w:hAnsi="David"/>
          <w:b w:val="false"/>
          <w:bCs w:val="false"/>
          <w:i w:val="false"/>
          <w:iCs w:val="false"/>
          <w:sz w:val="24"/>
          <w:szCs w:val="24"/>
          <w:rtl/>
        </w:rPr>
        <w:t xml:space="preserve"> לאור כל האמור מתבקש בית המשפט הנכבד לדחות את התביעה; לחלופין, למוחקה מחמת פיצול סעדים; לחלופין, לקבוע כי לא קמה עילה לדמי שימוש ראויים כל עוד לא נמסרה הודעה לפי סעיף 3(א) ולא חלפו תשעה חודשים ממסירתה; ולחלופי חלופין, להעמיד את החיוב על דמי השכירות המסובסדים בניכוי התשלומים ששולמו. כן מתבקש לחייב את התובעת בהוצאות.</w:t>
      </w:r>
    </w:p>
    <w:p>
      <w:pPr>
        <w:bidi/>
        <w:spacing w:after="120" w:before="0" w:line="360" w:lineRule="auto"/>
        <w:jc w:val="both"/>
      </w:pPr>
      <w:r>
        <w:rPr>
          <w:rFonts w:ascii="David" w:cs="David" w:eastAsia="David" w:hAnsi="David"/>
          <w:b/>
          <w:bCs/>
          <w:i w:val="false"/>
          <w:iCs w:val="false"/>
          <w:sz w:val="24"/>
          <w:szCs w:val="24"/>
          <w:rtl/>
        </w:rPr>
        <w:t xml:space="preserve">נספחים:</w:t>
      </w:r>
      <w:r>
        <w:rPr>
          <w:rFonts w:ascii="David" w:cs="David" w:eastAsia="David" w:hAnsi="David"/>
          <w:b w:val="false"/>
          <w:bCs w:val="false"/>
          <w:i w:val="false"/>
          <w:iCs w:val="false"/>
          <w:sz w:val="24"/>
          <w:szCs w:val="24"/>
          <w:rtl/>
        </w:rPr>
        <w:t xml:space="preserve"> א' קבלת עמידר; ב' שובר עמידר; ג' אישור בנק יהב; ד' מכתב הנתבעת למשרד השיכון; ד1 המלצת גורם הרווחה; ה' בקשת ההכרה כדיירת ממשיכה; ו' ייפוי כוח.</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 ב"כ הנתבעת</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תצהיר מטעם הנתבעת ורשימת מסמכים</w:t>
      </w:r>
    </w:p>
    <w:p>
      <w:pPr>
        <w:keepNext/>
        <w:bidi/>
        <w:spacing w:after="220" w:line="300" w:lineRule="auto"/>
        <w:jc w:val="center"/>
      </w:pPr>
      <w:r>
        <w:rPr>
          <w:rFonts w:ascii="David" w:cs="David" w:eastAsia="David" w:hAnsi="David"/>
          <w:b w:val="false"/>
          <w:bCs w:val="false"/>
          <w:i w:val="false"/>
          <w:iCs w:val="false"/>
          <w:sz w:val="22"/>
          <w:szCs w:val="22"/>
          <w:rtl/>
        </w:rPr>
        <w:t xml:space="preserve">בבית משפט השלום בפתח תקווה, ת"א ______ | עמידר, החברה הלאומית לשיכון בישראל בע"מ (התובעת) נגד טדילה וונדימאג'ן (הנתבעת) | תצהיר ערוך לפי טופס 5 שבתוספת הראשונה לתקנות סדר הדין האזרחי, התשע"ט-2018.</w:t>
      </w:r>
    </w:p>
    <w:p>
      <w:pPr>
        <w:bidi/>
        <w:spacing w:after="200" w:before="0" w:line="360" w:lineRule="auto"/>
        <w:jc w:val="both"/>
      </w:pPr>
      <w:r>
        <w:rPr>
          <w:rFonts w:ascii="David" w:cs="David" w:eastAsia="David" w:hAnsi="David"/>
          <w:b w:val="false"/>
          <w:bCs w:val="false"/>
          <w:i w:val="false"/>
          <w:iCs w:val="false"/>
          <w:sz w:val="24"/>
          <w:szCs w:val="24"/>
          <w:rtl/>
        </w:rPr>
        <w:t xml:space="preserve">אני החתומה מטה, טדילה וונדימאג'ן, ת.ז. 303214373, מרח' צה"ל 72/6 פתח תקווה, לאחר שהוזהרתי כי עליי לומר את האמת וכי אהיה צפויה לעונשים הקבועים בחוק אם לא אעשה כן, מצהירה בזאת כדלקמן: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הריני עושה תצהירי זה כתצהיר תומך לכתב ההגנה מטעמי בתובענה שבכותרת, לפי תקנה 79(א)(1) לתקנות.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העובדות המפורטות בכתב ההגנה, להבדיל מן הטענות המשפטיות ומן המסקנות שבו, נכונות וידועות לי מידיעתי האישית; והעובדות הנוגעות למסמכי התובעת ידועות לי מתוך המסמכים עצמם, המצורפים לכתב התביעה.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התגוררתי בדירה ברח' צה"ל 72/6 בפתח תקווה יחד עם אבי המנוח, מר מנבר וונדימאג'ן ז"ל, ת.ז. 303214381, ביום 1.8.2009, והוספתי להתגורר בה עמו ברציפות למעלה מארבע שנים ועד לפטירתו ביום 16.2.2024; בשנותיו האחרונות, עת היה חולה, טיפלתי בו. אבי, יליד 1943, היה דובר אמהרית; הוא לא ידע קרוא וכתוב ולא שלט בשפה העברית.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ביום 3.7.2024 ערכה נציגת התובעת ביקור בדירה, ואני היא הבת שנכחה בו. שמי נרשם בטופס הביקור שלא כהלכה.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 זומנתי לשימוע או לדיון בפני ועדה בעניין מעמדי בדירה, ולא הומצאה לי החלטה. אף לא נמסרה לי הודעה מאת משרד הבינוי והשיכון בדבר אי-זכאותי לדירה ציבורית.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רשימת המסמכים הנוגעים לעניין הנדון, המצויים או שהיו מצויים ברשותי או בשליטתי ואשר איתרתי לאחר חקירה ודרישה, היא הנספחים א' עד ו' המפורטים בכתב ההגנה. אין בידי תכתובת בכתב מול התובעת, שכן פניותיי אליה נעשו בעל פה במשרדיה.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זהו שמי, זו חתימתי ותוכן תצהירי אמת.</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240" w:line="240" w:lineRule="auto"/>
        <w:jc w:val="center"/>
      </w:pPr>
      <w:r>
        <w:rPr>
          <w:rFonts w:ascii="David" w:cs="David" w:eastAsia="David" w:hAnsi="David"/>
          <w:b/>
          <w:bCs/>
          <w:i w:val="false"/>
          <w:iCs w:val="false"/>
          <w:sz w:val="24"/>
          <w:szCs w:val="24"/>
          <w:rtl/>
        </w:rPr>
        <w:t xml:space="preserve">טדילה וונדימאג'ן</w:t>
      </w:r>
    </w:p>
    <w:p>
      <w:pPr>
        <w:bidi/>
        <w:spacing w:after="140" w:before="240"/>
        <w:jc w:val="center"/>
      </w:pPr>
      <w:r>
        <w:rPr>
          <w:rFonts w:ascii="David" w:cs="David" w:eastAsia="David" w:hAnsi="David"/>
          <w:b/>
          <w:bCs/>
          <w:i w:val="false"/>
          <w:iCs w:val="false"/>
          <w:sz w:val="24"/>
          <w:szCs w:val="24"/>
          <w:u w:val="single"/>
          <w:rtl/>
        </w:rPr>
        <w:t xml:space="preserve">א י ש ו ר</w:t>
      </w:r>
    </w:p>
    <w:p>
      <w:pPr>
        <w:bidi/>
        <w:spacing w:after="120" w:before="0" w:line="360" w:lineRule="auto"/>
        <w:jc w:val="both"/>
      </w:pPr>
      <w:r>
        <w:rPr>
          <w:rFonts w:ascii="David" w:cs="David" w:eastAsia="David" w:hAnsi="David"/>
          <w:b w:val="false"/>
          <w:bCs w:val="false"/>
          <w:i w:val="false"/>
          <w:iCs w:val="false"/>
          <w:sz w:val="24"/>
          <w:szCs w:val="24"/>
          <w:rtl/>
        </w:rPr>
        <w:t xml:space="preserve">הריני לאשר כי ביום __________ הופיעה בפניי, במשרדי ברח' ____________________, גב' טדילה וונדימאג'ן, שזיהיתיה לפי תעודת זהות מספר 303214373, ולאחר שהזהרתיה כי עליה לומר את האמת ואת האמת בלבד, וכי תהיה צפויה לעונשים הקבועים בחוק אם לא תעשה כן, אישרה את נכונות הצהרתה דלעיל וחתמה עליה בפניי.</w:t>
      </w:r>
    </w:p>
    <w:p>
      <w:pPr>
        <w:bidi/>
        <w:spacing w:after="0" w:before="0" w:line="360" w:lineRule="auto"/>
        <w:jc w:val="both"/>
      </w:pPr>
    </w:p>
    <w:p>
      <w:pPr>
        <w:keepNext/>
        <w:bidi/>
        <w:spacing w:after="80" w:line="240" w:lineRule="auto"/>
        <w:jc w:val="center"/>
      </w:pPr>
      <w:r>
        <w:rPr>
          <w:rFonts w:ascii="David" w:cs="David" w:eastAsia="David" w:hAnsi="David"/>
          <w:b w:val="false"/>
          <w:bCs w:val="false"/>
          <w:i w:val="false"/>
          <w:iCs w:val="false"/>
          <w:sz w:val="24"/>
          <w:szCs w:val="24"/>
          <w:rtl/>
        </w:rPr>
        <w:t xml:space="preserve">_______________________</w:t>
      </w:r>
    </w:p>
    <w:p>
      <w:pPr>
        <w:bidi/>
        <w:spacing w:after="0" w:line="240" w:lineRule="auto"/>
        <w:jc w:val="center"/>
      </w:pPr>
      <w:r>
        <w:rPr>
          <w:rFonts w:ascii="David" w:cs="David" w:eastAsia="David" w:hAnsi="David"/>
          <w:b/>
          <w:bCs/>
          <w:i w:val="false"/>
          <w:iCs w:val="false"/>
          <w:sz w:val="24"/>
          <w:szCs w:val="24"/>
          <w:highlight w:val="yellow"/>
          <w:highlightCs w:val="yellow"/>
          <w:rtl/>
        </w:rPr>
        <w:t xml:space="preserve">[שם עורך/ת הדין]</w:t>
      </w:r>
      <w:r>
        <w:rPr>
          <w:rFonts w:ascii="David" w:cs="David" w:eastAsia="David" w:hAnsi="David"/>
          <w:b/>
          <w:bCs/>
          <w:i w:val="false"/>
          <w:iCs w:val="false"/>
          <w:sz w:val="24"/>
          <w:szCs w:val="24"/>
          <w:rtl/>
        </w:rPr>
        <w:t xml:space="preserve">, עו"ד, מ.ר. ________</w:t>
      </w:r>
    </w:p>
    <w:p>
      <w:pPr>
        <w:keepNext/>
        <w:keepLines/>
        <w:pageBreakBefore/>
        <w:bidi/>
        <w:spacing w:after="200" w:before="240" w:line="360" w:lineRule="auto"/>
        <w:jc w:val="center"/>
      </w:pPr>
      <w:r>
        <w:rPr>
          <w:rFonts w:ascii="David" w:cs="David" w:eastAsia="David" w:hAnsi="David"/>
          <w:b/>
          <w:bCs/>
          <w:i w:val="false"/>
          <w:iCs w:val="false"/>
          <w:sz w:val="32"/>
          <w:szCs w:val="32"/>
          <w:u w:val="single"/>
          <w:rtl/>
        </w:rPr>
        <w:t xml:space="preserve">הערות להשלמה - למחיקה לפני ההגשה</w:t>
      </w:r>
    </w:p>
    <w:p>
      <w:pPr>
        <w:bidi/>
        <w:spacing w:after="200" w:before="0" w:line="360" w:lineRule="auto"/>
        <w:jc w:val="both"/>
      </w:pPr>
      <w:r>
        <w:rPr>
          <w:rFonts w:ascii="David" w:cs="David" w:eastAsia="David" w:hAnsi="David"/>
          <w:b w:val="false"/>
          <w:bCs w:val="false"/>
          <w:i w:val="false"/>
          <w:iCs w:val="false"/>
          <w:sz w:val="24"/>
          <w:szCs w:val="24"/>
          <w:rtl/>
        </w:rPr>
        <w:t xml:space="preserve">דף זה אינו חלק מכתב ההגנה. יש למחוק אותו, ואת ההערות המודגשות בגוף המסמך, לפני ההגשה.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מספר התיק בכותרת; שם עורך הדין, מספר רישיון, מען ופרטי התקשרות.</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2.</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המסמך המרכזי של התובעת הוא התצהיר המודפס מיום 10.11.2021 (עמ' 35 לכתב התביעה). לחיזוק הטענה נגדו נדרש: ראיה לכך שהמנוח לא ידע קרוא וכתוב ולא שלט בעברית (מסמכי עלייה וקליטה, רישומי אולפן, מסמכים רפואיים או סיעודיים, תצהירי בני משפחה ושכנים); ביסוס לטענה שגב' נטלי לוגסי אינה דוברת אמהרית, שאפשר להוכיחה גם בחקירתה; ושקילת בקשה נפרדת להוצאת המסמך מן התיק או להתנגדות להגשתו בפתח שמיעת הראיות. כן יש לגבות מן הלקוחה גרסה מפורטת בעניין נסיבות ההחתמה בטרם ייחתם התצהיר.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3.</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ראיות תומכות בתקופת המגורים המשותפים, לאיסוף ולצירוף: מרשם האוכלוסין ותמצית רישום, חשבונות ודברי דואר שנשלחו לכתובת הדירה, מסמכים רפואיים מתקופת מחלת האב, רישומי בית ספר או גן של ילדי הנתבעת, ותצהירי שכנים או בני משפחה.</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4.</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זכאותה העצמאית של הנתבעת לדירה ציבורית לפי כללי משרד הבינוי והשיכון טרם נבדקה. יש לבדקה מול המשרד, ובהתאם לתוצאה לחזק את הטענה החלופית לפי סעיף 3(ב) לחוק, שלפיה בא הדייר הממשיך בנעלי הזכאי לכל דבר ועניין.</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5.</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מכתב ההמלצה של גורם הרווחה (נספח ד1): יש לצרפו ולהשלים בכתב ההגנה את שם עובד הרווחה ותפקידו ואת תאריך המכתב.</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6.</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לאמת לפני ההגשה את נוסחם המדויק של סעיף 3 לחוק ושל הוראת המעבר בחוק ההתייעלות הכלכלית (תיקוני חקיקה ליישום התכנית הכלכלית לשנים 2009 ו-2010), התשס"ט-2009, ולשקול לצרף אסמכתה מן הפסיקה העדכנית בסוגיית תנאי הוראת המעבר.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7.</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המועד האחרון להגשה נרשם לפי הנתון שנמסר, 4.9.2026. יש לאמת את החישוב מול תקנה 80(א) (45 ימים מן ההמצאה ביום 21.6.2026) ומול תקנה 179(ב) בעניין פגרת בתי המשפט.</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8.</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צירוף ייפוי כוח (נספח ו') ובקשת ההכרה כדיירת ממשיכה (נספח ה'). אם הבקשה אינה מצויה בידי הנתבעת, יש לפרט בתצהיר את הנסיבות (תקנה 79(א)(2) סיפא).</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9.</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קבלות ואישורי תשלום נוספים ומסמכי רווחה שבידי הנתבעת: להוסיף לרשימת הנספחים ולתצהיר.</w:t>
      </w:r>
    </w:p>
    <w:p>
      <w:pPr>
        <w:tabs>
          <w:tab w:val="start" w:pos="480"/>
        </w:tabs>
        <w:bidi/>
        <w:spacing w:after="60" w:line="360" w:lineRule="auto"/>
        <w:ind w:start="480" w:hanging="480"/>
        <w:jc w:val="both"/>
      </w:pPr>
      <w:r>
        <w:rPr>
          <w:rFonts w:ascii="David" w:cs="David" w:eastAsia="David" w:hAnsi="David"/>
          <w:b w:val="false"/>
          <w:bCs w:val="false"/>
          <w:i w:val="false"/>
          <w:iCs w:val="false"/>
          <w:sz w:val="24"/>
          <w:szCs w:val="24"/>
          <w:rtl/>
        </w:rPr>
        <w:t xml:space="preserve">10.</w:t>
      </w:r>
      <w:r>
        <w:rPr>
          <w:rFonts w:ascii="David" w:cs="David" w:eastAsia="David" w:hAnsi="David"/>
          <w:sz w:val="24"/>
          <w:szCs w:val="24"/>
          <w:rtl/>
        </w:rPr>
        <w:tab/>
      </w:r>
      <w:r>
        <w:rPr>
          <w:rFonts w:ascii="David" w:cs="David" w:eastAsia="David" w:hAnsi="David"/>
          <w:b w:val="false"/>
          <w:bCs w:val="false"/>
          <w:i w:val="false"/>
          <w:iCs w:val="false"/>
          <w:sz w:val="24"/>
          <w:szCs w:val="24"/>
          <w:rtl/>
        </w:rPr>
        <w:t xml:space="preserve">הוחלט שלא להגיש תביעה שכנגד להשבת הכספים שנגבו. השבתם נתבעת בדרך של קיזוז וניכוי בסעיף הסעד. אם תשוב הלקוחה בה מהחלטתה, תביעה שכנגד מוגשת יחד עם כתב ההגנה (תקנות 21(א) ו-80(ח)), ולאחר מכן תידרש רשות.</w:t>
      </w:r>
    </w:p>
    <w:sectPr>
      <w:footerReference w:type="default" r:id="rId7"/>
      <w:pgSz w:w="11906" w:h="16838" w:orient="portrait"/>
      <w:pgMar w:top="850" w:right="1417" w:bottom="646" w:left="1417" w:header="340" w:footer="340" w:gutter="0"/>
      <w:bidi/>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David" w:cs="David" w:eastAsia="David" w:hAnsi="David"/>
        <w:sz w:val="20"/>
        <w:szCs w:val="20"/>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bidi/>
        <w:ind w:start="720" w:hanging="360"/>
      </w:pPr>
    </w:lvl>
    <w:lvl w:ilvl="1" w15:tentative="1">
      <w:start w:val="1"/>
      <w:numFmt w:val="bullet"/>
      <w:lvlText w:val="○"/>
      <w:lvlJc w:val="left"/>
      <w:pPr>
        <w:bidi/>
        <w:ind w:start="1440" w:hanging="360"/>
      </w:pPr>
    </w:lvl>
    <w:lvl w:ilvl="2" w15:tentative="1">
      <w:start w:val="1"/>
      <w:numFmt w:val="bullet"/>
      <w:lvlText w:val="■"/>
      <w:lvlJc w:val="left"/>
      <w:pPr>
        <w:bidi/>
        <w:ind w:start="2160" w:hanging="360"/>
      </w:pPr>
    </w:lvl>
    <w:lvl w:ilvl="3" w15:tentative="1">
      <w:start w:val="1"/>
      <w:numFmt w:val="bullet"/>
      <w:lvlText w:val="●"/>
      <w:lvlJc w:val="left"/>
      <w:pPr>
        <w:bidi/>
        <w:ind w:start="2880" w:hanging="360"/>
      </w:pPr>
    </w:lvl>
    <w:lvl w:ilvl="4" w15:tentative="1">
      <w:start w:val="1"/>
      <w:numFmt w:val="bullet"/>
      <w:lvlText w:val="○"/>
      <w:lvlJc w:val="left"/>
      <w:pPr>
        <w:bidi/>
        <w:ind w:start="3600" w:hanging="360"/>
      </w:pPr>
    </w:lvl>
    <w:lvl w:ilvl="5" w15:tentative="1">
      <w:start w:val="1"/>
      <w:numFmt w:val="bullet"/>
      <w:lvlText w:val="■"/>
      <w:lvlJc w:val="left"/>
      <w:pPr>
        <w:bidi/>
        <w:ind w:start="4320" w:hanging="360"/>
      </w:pPr>
    </w:lvl>
    <w:lvl w:ilvl="6" w15:tentative="1">
      <w:start w:val="1"/>
      <w:numFmt w:val="bullet"/>
      <w:lvlText w:val="●"/>
      <w:lvlJc w:val="left"/>
      <w:pPr>
        <w:bidi/>
        <w:ind w:start="5040" w:hanging="360"/>
      </w:pPr>
    </w:lvl>
    <w:lvl w:ilvl="7" w15:tentative="1">
      <w:start w:val="1"/>
      <w:numFmt w:val="bullet"/>
      <w:lvlText w:val="●"/>
      <w:lvlJc w:val="left"/>
      <w:pPr>
        <w:bidi/>
        <w:ind w:start="5760" w:hanging="360"/>
      </w:pPr>
    </w:lvl>
    <w:lvl w:ilvl="8" w15:tentative="1">
      <w:start w:val="1"/>
      <w:numFmt w:val="bullet"/>
      <w:lvlText w:val="●"/>
      <w:lvlJc w:val="left"/>
      <w:pPr>
        <w:bidi/>
        <w:ind w:star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2026-09-02T10:56:43.869Z</dcterms:created>
  <dcterms:modified xsi:type="dcterms:W3CDTF">2026-09-02T10:56:43.869Z</dcterms:modified>
</cp:coreProperties>
</file>

<file path=docProps/custom.xml><?xml version="1.0" encoding="utf-8"?>
<Properties xmlns="http://schemas.openxmlformats.org/officeDocument/2006/custom-properties" xmlns:vt="http://schemas.openxmlformats.org/officeDocument/2006/docPropsVTypes"/>
</file>