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 טל': 03-9451451</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דוא"ל: 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 המועד האחרון להגשת כתב ההגנה, בהתאם להחלטה בדבר הארכת מועד: יום 4.9.2026.</w:t>
      </w: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360" w:after="120" w:before="0"/>
        <w:jc w:val="both"/>
      </w:pPr>
      <w:r>
        <w:rPr>
          <w:rFonts w:ascii="David" w:hAnsi="David" w:cs="David" w:eastAsia="David" w:hint="cs"/>
          <w:b w:val="0"/>
          <w:sz w:val="24"/>
          <w:szCs w:val="24"/>
          <w:u w:val="none"/>
          <w:rtl w:val="1"/>
          <w:lang w:bidi="he-IL"/>
        </w:rPr>
        <w:t>הנתבעת מתכבדת להגיש כתב הגנה מטעמה. כל הטענות הנטענות בכתב התביעה מוכחשות, למעט אם צוין במפורש אחרת. בכתב הגנה זה: "הדירה" היא הדירה שבכותרת; "המנוח" הוא מר מנבר וונדימאג'ן ז"ל, אביה של הנתבעת ובעל החוזה; "טופסי הביקור" הם הטפסים שבנספח 2; ו"הפרוטוקול" הוא המסמך שבנספח 4.</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עיקר הטענות</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אביה של הנתבעת, בעל החוזה, הלך לעולמו ביום 16.2.2024. הנתבעת סעדה אותו עד יומו האחרון, מתגוררת בדירה מאז, והתובעת עותרת לסלקה ממנה בטענה כי "פלשה" אליה. הסעד המבוקש נשען כל כולו על החלטה מנהלית אחת, היא החלטת ועדת הלגליזציה מיום 2.9.2024, הלוקה בשלושה פגמים שכל אחד מהם עומד בפני עצמו.</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ראשית, ולב העניין: </w:t>
      </w:r>
      <w:r>
        <w:rPr>
          <w:rFonts w:ascii="David" w:hAnsi="David" w:cs="David" w:eastAsia="David" w:hint="cs"/>
          <w:b/>
          <w:bCs w:val="1"/>
          <w:sz w:val="24"/>
          <w:szCs w:val="24"/>
          <w:u w:val="single"/>
          <w:rtl w:val="1"/>
          <w:lang w:bidi="he-IL"/>
        </w:rPr>
        <w:t>תבחיני הזכאות לא נבדקו כלל</w:t>
      </w:r>
      <w:r>
        <w:rPr>
          <w:rFonts w:ascii="David" w:hAnsi="David" w:cs="David" w:eastAsia="David" w:hint="cs"/>
          <w:b w:val="0"/>
          <w:sz w:val="24"/>
          <w:szCs w:val="24"/>
          <w:u w:val="none"/>
          <w:rtl w:val="1"/>
          <w:lang w:bidi="he-IL"/>
        </w:rPr>
        <w:t>. בפרוטוקול קבועה טבלה שבה נדרש סגן מנהל מרכז השירות לציין את ממצאיו בסעיפי "חסר דירה", "מומש סיוע בשכ"ד", "כתובות" ו"גבולות". הטבלה נותרה, בכל שורותיה, ללא כל סימון; שם סגן המנהל וחתימתו נותרו ריקים אף הם. משכך, הקביעה שבסעיף 19 לכתב התביעה, ולפיה לא עמדה הנתבעת בנטל התבחינים המצטברים, אינה קביעה אלא הנחה; הנטל מוטל על התובעת, ולא הורם משום שמעולם לא נבדק.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שנית, לא נערך שימוע, לא מולא שדה הנימוקים ולא בוצעה המצאה. אין בפרוטוקול זכר לכך שהנתבעת זומנה, נשמעה או יוצגה. השדה "נימוקים והמלצות" נותר ריק כליל, וכל שנרשם תחת "החלטת הוועדה המחוזית" הן שתי שורות בכתב יד, שאינן מתייחסות לאיזה מן התבחינים. לא הוצגה כל ראיה כי ההחלטה הומצאה לנתבעת או כי הועמדה על זכותה להשיג עליה.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לא הובהר מכוח מה הוחל המבחן שהוחל. על גבי הפרוטוקול מודפסת הדרישה לביקורי מעגל לדייר הממשיך "מתאריך 1.8.09 ועד מועד הבקשה ולא פחות מ-4 שנות מגורים רצופות", בעוד שהגדרת "דייר ממשיך" שבסעיף 1 לחוק זכויות הדייר בדיור הציבורי, התשנ"ח-1998, נוקבת בשלוש שנים. התובעת לא ציינה את מקורה הנורמטיבי של דרישה זו ולא הבהירה כיצד היא מתיישבת עם החוק. החלטה מנהלית הפוגעת בזכות לקורת גג, שהתקבלה בלא בדיקה, בלא שימוע, בלא הנמקה ובלא המצאה, בטלה; ובית המשפט הנכבד מתבקש לקבוע כן בדרך של תקיפה עקיפה.</w:t>
      </w:r>
    </w:p>
    <w:p>
      <w:pPr>
        <w:keepNext w:val="1"/>
        <w:keepLines w:val="1"/>
        <w:bidi w:val="1"/>
        <w:spacing w:lineRule="auto" w:line="360" w:after="60" w:before="100"/>
        <w:jc w:val="left"/>
      </w:pPr>
      <w:r>
        <w:rPr>
          <w:rFonts w:ascii="David" w:hAnsi="David" w:cs="David" w:eastAsia="David" w:hint="cs"/>
          <w:b/>
          <w:bCs w:val="1"/>
          <w:sz w:val="24"/>
          <w:szCs w:val="24"/>
          <w:u w:val="single"/>
          <w:rtl w:val="1"/>
          <w:lang w:bidi="he-IL"/>
        </w:rPr>
        <w:t>היעדר עילה: הנתבעת אינה "פולשת"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נכנסה אליה ברשות אביה, שבה להתגורר בה כדי לסעוד אותו בחודשים שקדמו לפטירתו, ונותרה בה לאחר מכן. מי שאלה נסיבות כניסתה אינה "פולשת"; לכל היותר עסקינן בבת-רשות שרישיונה פקע, על כל המשתמע מכך לעניין הסעד ולשיקולי הצדק. יצוין כי במשבצת "חשש לנטישה/נטישה/פלישה" שבטופסי הביקור לא הוקף סימון מעולם; וכי התובעת הוסיפה לנהל את חשבון הדירה כחשבון פעיל ולזקוף בו הנחת מדרוג שתוקפה עד ליום 30.9.2024, חודשים לאחר הפטירה.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שלא כדין. הדירה היא ביתה היחיד; אין לה דירה אחרת ומעולם לא היתה לה. נסיבות מגוריה מפורטות בחלק השלישי להלן, במלואן ובלא כחל ושרק, ולמען הזהירות תטען הנתבעת לחלופין כי הן מקימות לה מעמד של דיירת ממשיכה כמשמעותו בסעיף 1 לחוק.</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שנית, ובניגוד לנטען בסעיפים 10, 18 ו-19, </w:t>
      </w:r>
      <w:r>
        <w:rPr>
          <w:rFonts w:ascii="David" w:hAnsi="David" w:cs="David" w:eastAsia="David" w:hint="cs"/>
          <w:b/>
          <w:bCs w:val="1"/>
          <w:sz w:val="24"/>
          <w:szCs w:val="24"/>
          <w:u w:val="single"/>
          <w:rtl w:val="1"/>
          <w:lang w:bidi="he-IL"/>
        </w:rPr>
        <w:t>התובעת לא בחנה את עניינה של הנתבעת כלל</w:t>
      </w:r>
      <w:r>
        <w:rPr>
          <w:rFonts w:ascii="David" w:hAnsi="David" w:cs="David" w:eastAsia="David" w:hint="cs"/>
          <w:b w:val="0"/>
          <w:sz w:val="24"/>
          <w:szCs w:val="24"/>
          <w:u w:val="none"/>
          <w:rtl w:val="1"/>
          <w:lang w:bidi="he-IL"/>
        </w:rPr>
        <w:t>. היא לא בדקה היכן התגוררה ומתי, לא זימנה אותה, לא שמעה אותה ולא סימנה ולו תבחין אחד. אין בהחלטה שכך נתקבלה כדי לקבוע דבר, ומשבטלה, שומה על התובעת לשוב ולבחון את העניין מן היסוד.</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שלישית, המחלקה לשירותים חברתיים בעיריית פתח תקווה ביקשה בכתב להימנע מהוצאת הנתבעת מן הדירה. אישה נכה בשיעור 100%, המוכרת ברווחה, שסעדה את אביה עד מותו ואין לה קורת גג אחרת, מקיימת על פניה עילה לבחינה בפני הוועדה המוסמכת לבחינת מקרים חריגים; בחינה שמעולם לא נערכה.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דין התביעה להידחות. סילוק יד הוא סעד שבשיקול דעת, ואין להיעתר לו שעה שהתובעת היא רשות ציבורית המבקשת להוציא אדם מביתו על יסוד החלטה שהתקבלה בלא שנבדק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לחלופין בלבד, ומבלי לגרוע מן הטענה כי ההחלטה בטלה, מתבקש בית המשפט הנכבד להורות כי לא יינתן צו פינוי בטרם יובא עניינה של הנתבעת בפני הוועדה המוסמכת לבחינת מקרים חריגים, ובטרם תוסדר לה חלופת דיור הולמת; ולעכב את בירור התביעה עד למיצוי אותו הליך. פינוי אישה נכה בשיעור 100%, כעולה מנספח ב', מביתה היחיד אינו עולה בקנה אחד עם חוק-יסוד: כבוד האדם וחירותו. ולחלופי חלופין, לעכב את ביצוע הפינוי לתקופה משמעותית.</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טיעון עובדתי</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בשנת 1996 נחתם בין התובעת לבין המנוח חוזה שכירות ביחס לדירה, ויום 8.8.1996 נקוב בו כתאריך מסירת החזקה המשוער, והוא גם התאריך שבשדה "תאריך אכלוס" בכל טופסי הביקור. המנוח, יליד 1943, עלה לישראל מאתיופיה בשנת 1991. הוא הלך לעולמו ביום 16.2.2024, ותעודת הפטירה שצורפה כנספח 3 נשלחה, לפי הרשום על גביה, אל הנתבעת בכתובת הדירה.</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נסיבות מגוריה של הנתבעת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גדלה בדירה והתגוררה בה מילדותה. בשנים מאוחרות יותר, על רקע מתח וקשיים ששררו בינה לבין אביה, מצבה האישי והיותו אדם נוקשה, התקשתה להתגורר עמו ברציפות, והחזיקה דירה שכורה בסמוך כדי שיהיה בידה מקום לינה נפרד. הנתבעת לא נטשה את אביה ולא חדלה מלבקרו: היא הגיעה אליו בתדירות גבוהה, סייעה לו, הכינה עבורו אוכל ודאגה לצרכיו. הנתבעת הייתה קשורה בחוזה שכירות עד לחודש יולי 2024, אולם עזבה את הדירה השכורה כשבעה חודשים קודם לכן, בסמוך לחודש דצמבר 2023, ועברה לשהות לצד אביה ולסעוד אותו בתקופה שקדמה לפטירתו. מאז הפטירה מתגוררת הנתבעת בדירה ברציפות, והיא ביתה היחיד. חוזה השכירות אינו מצוי בידי הנתבעת. אין לה דירה אחרת ומעולם לא היתה לה.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לביסוס מגוריה תסתמך הנתבעת, בין היתר, על עדויות שכנים מאותו בניין המכירים אותה ואת המנוח עשרות שנים. כמו כן, תסתמך הנתבעת על מסמכים רשמיים, לרבות רישומי רשויות, רשומות רפואיות, דואר רשמי ומסמכים מוסדיים נוספים, אשר יוגשו במועד ובאופן שייקבעו על ידי בית המשפט הנכבד. דבר מכל אלה לא נבדק בידי התובעת מעולם.</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טופסי הביקור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התובעת סומכת את תביעתה על טופסי הביקור, שמילאו נציגיה לצרכיה, ואלה סותרים זה את זה ואינם יכולים לשאת את המסקנה. בטופס מיום 18.12.2023, האחרון בחיי המנוח, נרשם: "נקבע מספר פעמים ביקור בית, הדייר אומר אני אהיה בבית, לא נמצא"; ביקור שבו לא נמצא הדייר אינו יכול ללמד על זהות המתגוררים בדירה, וחרף זאת הוטבעה עליו חותמת "מסרב לחתום". ובטופס מיום 3.7.2024, הביקור היחיד שנערך לאחר הפטירה, נרשם בשדה ההערות: "דייר חוזי נפטר , ביקור עם הבת עדן טדלה" [כך במקור]. "עדן" הוא שמה העברי של הנתבעת, והביקור נערך עמה בדירה. בהתאם לכך סומן בטבלה שבפרוטוקול, בשורת אותו ביקור, כי </w:t>
      </w:r>
      <w:r>
        <w:rPr>
          <w:rFonts w:ascii="David" w:hAnsi="David" w:cs="David" w:eastAsia="David" w:hint="cs"/>
          <w:b/>
          <w:bCs w:val="1"/>
          <w:sz w:val="24"/>
          <w:szCs w:val="24"/>
          <w:u w:val="single"/>
          <w:rtl w:val="1"/>
          <w:lang w:bidi="he-IL"/>
        </w:rPr>
        <w:t>דייר ממשיך מתגורר בדירה</w:t>
      </w:r>
      <w:r>
        <w:rPr>
          <w:rFonts w:ascii="David" w:hAnsi="David" w:cs="David" w:eastAsia="David" w:hint="cs"/>
          <w:b w:val="0"/>
          <w:sz w:val="24"/>
          <w:szCs w:val="24"/>
          <w:u w:val="none"/>
          <w:rtl w:val="1"/>
          <w:lang w:bidi="he-IL"/>
        </w:rPr>
        <w:t>. נציגת התובעת עצמה, אפוא, מצאה את הנתבעת מתגוררת בדירה ורשמה זאת. ובאותה שורה עצמה סומן כי גם הדייר החוזי מתגורר בה, אדם שנפטר ארבעה חודשים וחצי קודם לכן.</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הצהרות המנוח</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הנתבעת אינה מכחישה את קיומן של ההצהרות. אלו טפסים אחידים שנוסחו בידי התובעת ונחתמו בידי המנוח, לא בידי הנתבעת, והם מתייחסים למועדים שבהם נחתמו ואינם מלמדים על התקופה שקדמה לפטירה. ותניה שבהצהרה, שתכליתה לשלול מראש מקרובי המנוח את מעמד הדייר הממשיך, אינה יכולה לעמוד: זכות סטטוטורית של מי שאינו חתום על הטופס אינה ניתנת לוויתור בידי החותם, ולו מטעמי תקנת הציבור שבסעיף 30 לחוק החוזים (חלק כללי), התשל"ג-1973.</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מכתב גורם הרווחה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 xml:space="preserve">בחודש יולי 2026 פנתה המחלקה לשירותים חברתיים "ירקון" שבעיריית פתח תקווה במכתב שעניינו הנתבעת (נספח א'), המוכרת באותה מחלקה כנתמכת (נספח ג'). במכתב נמסר כי הנתבעת "היתה מוכרת ברווחה לאורך שנים" וכי היא "בת 42 רווקה ללא ילדים מתמודדת עם נכות נפשית ופיברומיאלגיה, אינה עובדת ומקבלת קיצבה 100% נכות מביטוח לאומי". בסיפתו נאמר: "לאור זאת, נודה על כל התחשבות במצבה </w:t>
      </w:r>
      <w:r>
        <w:rPr>
          <w:rFonts w:ascii="David" w:hAnsi="David" w:cs="David" w:eastAsia="David" w:hint="cs"/>
          <w:b/>
          <w:bCs w:val="1"/>
          <w:sz w:val="24"/>
          <w:szCs w:val="24"/>
          <w:u w:val="single"/>
          <w:rtl w:val="1"/>
          <w:lang w:bidi="he-IL"/>
        </w:rPr>
        <w:t>והימנעות מהוצאתה מהדירה</w:t>
      </w:r>
      <w:r>
        <w:rPr>
          <w:rFonts w:ascii="David" w:hAnsi="David" w:cs="David" w:eastAsia="David" w:hint="cs"/>
          <w:b w:val="0"/>
          <w:sz w:val="24"/>
          <w:szCs w:val="24"/>
          <w:u w:val="none"/>
          <w:rtl w:val="1"/>
          <w:lang w:bidi="he-IL"/>
        </w:rPr>
        <w:t xml:space="preserve"> בה מתגוררת מזה 30 שנה" [ההדגשה של הח"מ]. התובעת קיבלה את החלטתה מבלי שפנתה לגורמי הרווחה; ומשנשלח המכתב לאחר מתן ההחלטה, קמה חובה לשוב ולבחון את העניין לאורו.</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התייחסות לטענות כתב התביעה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1, 5, 6, 7, 13 ו-17 אינו מוכחש. הנטען בסעיפים 8 ו-14 אינו מוכחש, למעט המילה "בעבר", ובכפוף לסעיף 2(ז) לחוזה, המתנה את סיום השכירות בהודעה בכתב שישים יום מראש. הודעה כאמור לא צורפה ולא נטענה.</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בסעיפים 2, 9 ו-15 מוכחש מכל וכל: הנתבעת אינה פולשת ואינה מחזיקה בדירה שלא כדין. הנטען בסעיפים 3, 4, 23 ו-24 מוכחש; אין התובעת זכאית לסעד כלשהו, וממילא לא להוצאות מוגברות.</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הנטען בסעיף 10 מוכחש: הגוף שדן בעניינה של הנתבעת הוא ועדה פנימית של התובעת, שלא שמעה אותה ולא בחנה את התבחינים. ביחס לסעיף 18: אין הכחשה לעצם קיומו של המסמך שבנספח 4, ומוכחש כי המדובר בהחלטה שנתקבלה כדין. הנטען בסעיפים 16 ו-19 מוכחש: אין הכחשה לקיומם של הטפסים וההצהרות, אך המסקנה המבוקשת מהם מוכחשת כמפורט לעיל. הנטען בסעיף 11 מוכחש; לא צורפה ולו דרישת פינוי אחת. סעיפים 12 ו-20 אינם טענות שבעובדה ואינם טעונים הכחשה. הנטען בסעיפים 21 ו-22 מוכחש.</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סוף דבר</w:t>
      </w:r>
    </w:p>
    <w:p>
      <w:pPr>
        <w:numPr>
          <w:ilvl w:val="0"/>
          <w:numId w:val="77"/>
        </w:numPr>
        <w:bidi w:val="1"/>
        <w:spacing w:lineRule="auto" w:line="360" w:after="100" w:before="0"/>
        <w:jc w:val="both"/>
      </w:pPr>
      <w:r>
        <w:rPr>
          <w:rFonts w:ascii="David" w:hAnsi="David" w:cs="David" w:eastAsia="David" w:hint="cs"/>
          <w:b w:val="0"/>
          <w:sz w:val="24"/>
          <w:szCs w:val="24"/>
          <w:u w:val="none"/>
          <w:rtl w:val="1"/>
          <w:lang w:bidi="he-IL"/>
        </w:rPr>
        <w:t>אשר על כן מתבקש בית המשפט הנכבד לדחות את התביעה ולחייב את התובעת בהוצאות ובשכ"ט עו"ד; ולחלופין, ליתן את הסעדים המפורטים בחלק השני לעיל.</w:t>
      </w:r>
    </w:p>
    <w:p>
      <w:pPr>
        <w:keepNext w:val="1"/>
        <w:keepLines w:val="1"/>
        <w:bidi w:val="1"/>
        <w:spacing w:lineRule="auto" w:line="360" w:after="60" w:before="120"/>
        <w:jc w:val="left"/>
      </w:pPr>
      <w:r>
        <w:rPr>
          <w:rFonts w:ascii="David" w:hAnsi="David" w:cs="David" w:eastAsia="David" w:hint="cs"/>
          <w:b/>
          <w:bCs w:val="1"/>
          <w:sz w:val="24"/>
          <w:szCs w:val="24"/>
          <w:u w:val="single"/>
          <w:rtl w:val="1"/>
          <w:lang w:bidi="he-IL"/>
        </w:rPr>
        <w:t>רשימת נספחים</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א': מכתב המחלקה לשירותים חברתיים, עיריית פתח תקווה, יולי 2026.</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ב': אישור המוסד לביטוח לאומי בדבר נכות בשיעור 100%.</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ג': אישור המחלקה לשירותים חברתיים בדבר הכרה בנתבעת כנתמכת.</w:t>
      </w:r>
    </w:p>
    <w:p>
      <w:pPr>
        <w:keepNext w:val="1"/>
        <w:keepLines w:val="1"/>
        <w:bidi w:val="1"/>
        <w:spacing w:lineRule="auto" w:line="240" w:after="80" w:before="0"/>
        <w:ind w:left="510" w:hanging="510"/>
        <w:jc w:val="both"/>
      </w:pPr>
      <w:r>
        <w:rPr>
          <w:rFonts w:ascii="David" w:hAnsi="David" w:cs="David" w:eastAsia="David" w:hint="cs"/>
          <w:b w:val="0"/>
          <w:sz w:val="24"/>
          <w:szCs w:val="24"/>
          <w:u w:val="none"/>
          <w:rtl w:val="1"/>
          <w:lang w:bidi="he-IL"/>
        </w:rPr>
        <w:t>נספח ד': ייפוי כוח מטעם הנתבעת, לפי תקנה 9(ה).</w:t>
      </w:r>
    </w:p>
    <w:p>
      <w:pPr>
        <w:bidi w:val="1"/>
        <w:spacing w:lineRule="auto" w:line="240" w:after="0" w:before="0"/>
        <w:jc w:val="left"/>
      </w:pPr>
      <w:r>
        <w:rPr>
          <w:rFonts w:ascii="David" w:hAnsi="David" w:cs="David" w:eastAsia="David" w:hint="cs"/>
          <w:b/>
          <w:bCs w:val="1"/>
          <w:sz w:val="24"/>
          <w:szCs w:val="24"/>
          <w:u w:val="none"/>
          <w:rtl w:val="1"/>
          <w:lang w:bidi="he-IL"/>
        </w:rPr>
        <w:t>תאריך: ______________</w:t>
      </w: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2026-09-01T10:15:44Z</dcterms:created>
  <dcterms:modified xsi:type="dcterms:W3CDTF">2026-09-01T10:15:44Z</dcterms:modified>
  <cp:category/>
</cp:coreProperties>
</file>