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ברח' צה"ל 72/6, פתח תקווה;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מתגוררת בדירה מאז ילדותה. אביה, בעל החוזה, הלך לעולמו ביום 16.2.2024, והתובעת עותרת לסלקה מן הדירה בטענה כי "פלשה" אליה. טענה זו אינה מתיישבת עם מסמכי התובעת עצמה.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הוחל מבחן מחמיר מזה שקבע המחוקק. על גבי הפרוטוקול מודפסת הדרישה לביקורי מעגל לדייר הממשיך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סעיף 1 לחוק זכויות הדייר בדיור הציבורי, התשנ"ח-1998, נוקב בשלוש שנים בסמוך למועד הפטירה. רשות המחילה על אדם מבחן מחמיר מזה שקבע המחוקק, החלטתה אינה יכולה לעמוד.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תבחיני הזכאות לא נבדקו כלל.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ולו נבדקו התבחינים, היה מתברר כי הנתבעת חסרת דירה. משכך, הקביעה שבסעיף 19 לכתב התביעה, ולפיה לא עמדה הנתבעת בנטל התבחינים המצטברים, אינה קביעה. </w:t>
      </w:r>
      <w:r>
        <w:rPr>
          <w:rFonts w:ascii="David" w:hAnsi="David" w:cs="David" w:eastAsia="David" w:hint="cs"/>
          <w:b/>
          <w:bCs w:val="1"/>
          <w:sz w:val="24"/>
          <w:szCs w:val="24"/>
          <w:u w:val="single"/>
          <w:rtl w:val="1"/>
          <w:lang w:bidi="he-IL"/>
        </w:rPr>
        <w:t>התובעת מעולם לא בדקה את התבחינים שעל יסודם היא דוחה את הבקשה</w:t>
      </w:r>
      <w:r>
        <w:rPr>
          <w:rFonts w:ascii="David" w:hAnsi="David" w:cs="David" w:eastAsia="David" w:hint="cs"/>
          <w:b w:val="0"/>
          <w:sz w:val="24"/>
          <w:szCs w:val="24"/>
          <w:u w:val="none"/>
          <w:rtl w:val="1"/>
          <w:lang w:bidi="he-IL"/>
        </w:rPr>
        <w:t>.</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 החלטה מנהלית הפוגעת בזכות לקורת גג, שהתקבלה כך,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מי שהתגוררה בדירה מכוח רשות, ונותרה בה לאחר פטירת בעל החוזה, אינה "פולשת"; לכל היותר עסקינן בבת-רשות שרישיונה פקע, על כל המשתמע מכך לעניין הסעד ולעניין שיקולי הצדק. יצוין כי בטופסי "בדיקת אכלוס וגבייה" מצויה משבצת שכותרתה "חשש לנטישה/נטישה/פלישה", ובאף אחד מהם לא הוקף סימון; וכי התובעת הוסיפה לנהל את חשבון הדירה כחשבון פעיל ולזקוף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היא התגוררה בה עמו שנים ארוכות עובר לפטירתו, ובכללן שלוש השנים שקדמו לה, ומוסיפה להתגורר בה. הדירה היא ביתה היחיד; אין לה דירה אחרת ומעולם לא היתה לה. משכך, ובניגוד לנטען בסעיפים 10, 18 ו-19, היא בתו של הזכאי ובאה בגדר "דייר ממשיך" כהגדרתו בסעיף 1 לחוק.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ובניגוד לנטען בסעיף 16, אין בטופסי הביקור ובהצהרות המנוח כדי לבסס את התביעה: הטפסים סותרים זה את זה, וההצהרות הן טפסים אחידים שנוסחו בידי התובעת ונחתמו בידי המנוח, לא בידי הנתבעת. הפירוט בחלק השלישי להלן. שלישית, המחלקה לשירותים חברתיים בעיריית פתח תקווה ביקשה בכתב להימנע מהוצאת הנתבעת מן הדירה; ואף אם ייקבע כי אין היא באה בגדר "דייר ממשיך" (ואין זה המצב), מחייבות נסיבותיה בחינה בפני הוועדה המוסמכת לבחינת מקרים חריגים בטרם יינתן סעד של פינוי.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שראיותיה סותרות את טענותיה, שהחילה מבחן מחמיר מזה שבדין, שלא בדקה את התבחינים ולא קיימה שימוע.</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מתבקש בית המשפט הנכבד להורות כי לא יינתן צו פינוי בטרם יובא עניינה של הנתבעת בפני הוועדה המוסמכת לבחינת מקרים חריגים, ובטרם תוסדר לה חלופת דיור הולמת. פינוי אישה נכה בשיעור 100%, כעולה מנספח ב', מביתה היחיד אינו עולה בקנה אחד עם חוק-יסוד: כבוד האדם וחירותו ועם תכליתו של חוק זכויות הדייר בדיור הציבורי. ולחלופי חלופין, לעכב את ביצוע הפינוי לתקופה משמעותית. אשר לעתירה להוצאות מוגברות, דינה להידחות.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 הנתבעת התגוררה בדירה עם אביה שנים ארוכות עובר לפטירתו, ובכללן שלוש השנים שקדמו לה, ומוסיפה להתגורר בה.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באותו בניין, המכירים אותה ואת המנוח מזה שנים רבות: פוזנטל עודד, ת.⁠ז.⁠ __________, ויואב אנניה, ת.⁠ז.⁠ __________. אלה יעידו כי הנתבעת התגוררה בדירה עם אביה ברציפות, לרבות בשלוש השנים שקדמו לפטירתו.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התובעת סומכת את תביעתה על טופסי הביקור. אלו טפסים שמילאו נציגיה לצרכיה, והם סותרים זה את זה. בטופס מיום 3.8.2020 נרשם בשדה "גר/ה בגפו/ה": "לא". זהו רישום של התובעת עצמה, בזמן אמת, ולפיו המנוח לא התגורר בדירה לבדו. ובטופס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אך תטען כי משקלן אפסי. אלו טפסים אחידים, שבחלקם נוסח ההצהרה הוא "אני/ו גר/ה/ים לבדי/נו בדירה", והחלופות מעולם לא נמחקו. הן נגבו אגב ביקורי הגבייה, שבהם נקבעה גם הנחת המדרוג שבה היה המנוח תלוי; ובטופס משנת 2010 נרשם כי הביקור נערך באמהרית, ושדה "נכח מתורגם" נותר ריק.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לתניה שלפיה ההצהרה "לא תאפשר לקרובי לטעון כי גרו איתי בדירה... כדי להיחשב 'דיירים ממשיכים'": תניה שנוסחה בידי רשות ציבורית על גבי טופס אחיד, שתכליתה לשלול מראש זכות סטטוטורית מצד שלישי שאינו חתום עליה, אינה יכולה לעמוד, ולו מטעמי תקנת הציבור שבסעיף 30 לחוק החוזים (חלק כללי), התשל"ג-1973. זכות הדייר הממשיך אינה קניינו של המנוח כדי שיוותר עליה בשם בתו.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המצ"ב ומסומן כנספח א'. הנתבעת אף 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שתוכנו מדבר בעד עצמו, ומוכחש כי המדובר בהחלטה שנתקבלה כדין. הנטען בסעיפים 16 ו-19 מוכחש: אין הכחשה לקיומם של הטפסים וההצהרות, אך תוכנם, משקלם והמסקנה המבוקשת מהם מוכחשים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ולחלופין, להורות כי לא יינתן צו פינוי בטרם יובא עניינה של הנתבעת בפני הוועדה המוסמכת לבחינת מקרים חריגים ובטרם תוסדר לה חלופת דיור הולמת; ולחלופי חלופין, לעכב את ביצוע הפינוי לתקופה משמעותית; ולחייב את התובעת בהוצאות ובשכ"ט עו"ד.</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p>
      <w:pPr>
        <w:bidi w:val="1"/>
        <w:spacing w:lineRule="auto" w:line="240" w:after="0" w:before="0"/>
        <w:jc w:val="right"/>
      </w:pPr>
      <w:r>
        <w:rPr>
          <w:rFonts w:ascii="David" w:hAnsi="David" w:cs="David" w:eastAsia="David" w:hint="cs"/>
          <w:b/>
          <w:bCs w:val="1"/>
          <w:sz w:val="24"/>
          <w:szCs w:val="24"/>
          <w:u w:val="none"/>
          <w:rtl w:val="1"/>
          <w:lang w:bidi="he-IL"/>
        </w:rPr>
        <w:t>[שם משרד עורכי הדין]</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2026-08-31T09:18:55Z</dcterms:created>
  <dcterms:modified xsi:type="dcterms:W3CDTF">2026-08-31T09:18:55Z</dcterms:modified>
  <cp:category/>
</cp:coreProperties>
</file>