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40"/>
              <w:left w:type="dxa" w:w="0"/>
              <w:bottom w:type="dxa" w:w="40"/>
              <w:right w:type="dxa" w:w="0"/>
            </w:tcMar>
          </w:tcPr>
          <w:p>
            <w:pPr>
              <w:bidi/>
              <w:jc w:val="start"/>
            </w:pPr>
            <w:r>
              <w:rPr>
                <w:rFonts w:ascii="David" w:cs="David" w:eastAsia="David" w:hAnsi="David"/>
                <w:b/>
                <w:bCs/>
                <w:i w:val="false"/>
                <w:iCs w:val="false"/>
                <w:sz w:val="26"/>
                <w:szCs w:val="26"/>
                <w:rtl/>
              </w:rPr>
              <w:t xml:space="preserve">בבית משפט השלום בפתח תקווה</w:t>
            </w:r>
          </w:p>
        </w:tc>
        <w:tc>
          <w:tcPr>
            <w:tcW w:type="dxa" w:w="4536"/>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b/>
                <w:bCs/>
                <w:i w:val="false"/>
                <w:iCs w:val="false"/>
                <w:sz w:val="26"/>
                <w:szCs w:val="26"/>
                <w:rtl/>
              </w:rPr>
              <w:t xml:space="preserve">ת"א ______________</w:t>
            </w:r>
          </w:p>
        </w:tc>
      </w:tr>
    </w:tbl>
    <w:p>
      <w:pPr>
        <w:bidi/>
        <w:spacing w:after="120" w:before="0" w:line="360" w:lineRule="auto"/>
        <w:jc w:val="both"/>
      </w:pP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572"/>
        <w:gridCol w:w="1500"/>
      </w:tblGrid>
      <w:tr>
        <w:tc>
          <w:tcPr>
            <w:tcW w:type="dxa" w:w="7572"/>
            <w:tcBorders>
              <w:top w:val="none" w:color="FFFFFF" w:sz="0"/>
              <w:left w:val="none" w:color="FFFFFF" w:sz="0"/>
              <w:bottom w:val="none" w:color="FFFFFF" w:sz="0"/>
              <w:right w:val="none" w:color="FFFFFF" w:sz="0"/>
            </w:tcBorders>
            <w:tcMar>
              <w:top w:type="dxa" w:w="40"/>
              <w:left w:type="dxa" w:w="0"/>
              <w:bottom w:type="dxa" w:w="40"/>
              <w:right w:type="dxa" w:w="0"/>
            </w:tcMar>
          </w:tcPr>
          <w:p>
            <w:pPr>
              <w:bidi/>
              <w:spacing w:line="300" w:lineRule="auto"/>
              <w:jc w:val="start"/>
            </w:pPr>
            <w:r>
              <w:rPr>
                <w:rFonts w:ascii="David" w:cs="David" w:eastAsia="David" w:hAnsi="David"/>
                <w:b/>
                <w:bCs/>
                <w:i w:val="false"/>
                <w:iCs w:val="false"/>
                <w:sz w:val="24"/>
                <w:szCs w:val="24"/>
                <w:rtl/>
              </w:rPr>
              <w:t xml:space="preserve">עמידר, החברה הלאומית לשיכון בישראל בע"מ, ח.פ. 520017393</w:t>
            </w:r>
          </w:p>
          <w:p>
            <w:pPr>
              <w:bidi/>
              <w:spacing w:line="300" w:lineRule="auto"/>
              <w:jc w:val="start"/>
            </w:pPr>
            <w:r>
              <w:rPr>
                <w:rFonts w:ascii="David" w:cs="David" w:eastAsia="David" w:hAnsi="David"/>
                <w:b w:val="false"/>
                <w:bCs w:val="false"/>
                <w:i w:val="false"/>
                <w:iCs w:val="false"/>
                <w:sz w:val="24"/>
                <w:szCs w:val="24"/>
                <w:rtl/>
              </w:rPr>
              <w:t xml:space="preserve">ע"י ב"כ עוה"ד ליאור סיגון (מ.ר. 57413) ו/או ג'וזף דוד (מ.ר. 82574) ואח'</w:t>
            </w:r>
          </w:p>
          <w:p>
            <w:pPr>
              <w:bidi/>
              <w:spacing w:line="300" w:lineRule="auto"/>
              <w:jc w:val="start"/>
            </w:pPr>
            <w:r>
              <w:rPr>
                <w:rFonts w:ascii="David" w:cs="David" w:eastAsia="David" w:hAnsi="David"/>
                <w:b w:val="false"/>
                <w:bCs w:val="false"/>
                <w:i w:val="false"/>
                <w:iCs w:val="false"/>
                <w:sz w:val="24"/>
                <w:szCs w:val="24"/>
                <w:rtl/>
              </w:rPr>
              <w:t xml:space="preserve">מרח' מצדה 9, מגדל ב.ס.ר 3, קומה 6</w:t>
            </w:r>
          </w:p>
        </w:tc>
        <w:tc>
          <w:tcPr>
            <w:tcW w:type="dxa" w:w="15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b/>
                <w:bCs/>
                <w:i w:val="false"/>
                <w:iCs w:val="false"/>
                <w:sz w:val="24"/>
                <w:szCs w:val="24"/>
                <w:rtl/>
              </w:rPr>
              <w:t xml:space="preserve">התובעת</w:t>
            </w:r>
          </w:p>
        </w:tc>
      </w:tr>
    </w:tbl>
    <w:p>
      <w:pPr>
        <w:bidi/>
        <w:spacing w:after="100" w:before="100"/>
        <w:jc w:val="center"/>
      </w:pPr>
      <w:r>
        <w:rPr>
          <w:rFonts w:ascii="David" w:cs="David" w:eastAsia="David" w:hAnsi="David"/>
          <w:b/>
          <w:bCs/>
          <w:i w:val="false"/>
          <w:iCs w:val="false"/>
          <w:sz w:val="24"/>
          <w:szCs w:val="24"/>
          <w:rtl/>
        </w:rPr>
        <w:t xml:space="preserve">- נ ג ד -</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572"/>
        <w:gridCol w:w="1500"/>
      </w:tblGrid>
      <w:tr>
        <w:tc>
          <w:tcPr>
            <w:tcW w:type="dxa" w:w="7572"/>
            <w:tcBorders>
              <w:top w:val="none" w:color="FFFFFF" w:sz="0"/>
              <w:left w:val="none" w:color="FFFFFF" w:sz="0"/>
              <w:bottom w:val="none" w:color="FFFFFF" w:sz="0"/>
              <w:right w:val="none" w:color="FFFFFF" w:sz="0"/>
            </w:tcBorders>
            <w:tcMar>
              <w:top w:type="dxa" w:w="40"/>
              <w:left w:type="dxa" w:w="0"/>
              <w:bottom w:type="dxa" w:w="40"/>
              <w:right w:type="dxa" w:w="0"/>
            </w:tcMar>
          </w:tcPr>
          <w:p>
            <w:pPr>
              <w:bidi/>
              <w:spacing w:line="300" w:lineRule="auto"/>
              <w:jc w:val="start"/>
            </w:pPr>
            <w:r>
              <w:rPr>
                <w:rFonts w:ascii="David" w:cs="David" w:eastAsia="David" w:hAnsi="David"/>
                <w:b/>
                <w:bCs/>
                <w:i w:val="false"/>
                <w:iCs w:val="false"/>
                <w:sz w:val="24"/>
                <w:szCs w:val="24"/>
                <w:rtl/>
              </w:rPr>
              <w:t xml:space="preserve">טדילה וונדימאג'ן, ת.ז. 303214373</w:t>
            </w:r>
          </w:p>
          <w:p>
            <w:pPr>
              <w:bidi/>
              <w:spacing w:line="300" w:lineRule="auto"/>
              <w:jc w:val="start"/>
            </w:pPr>
            <w:r>
              <w:rPr>
                <w:rFonts w:ascii="David" w:cs="David" w:eastAsia="David" w:hAnsi="David"/>
                <w:b w:val="false"/>
                <w:bCs w:val="false"/>
                <w:i w:val="false"/>
                <w:iCs w:val="false"/>
                <w:sz w:val="24"/>
                <w:szCs w:val="24"/>
                <w:rtl/>
              </w:rPr>
              <w:t xml:space="preserve">מרח' צה"ל 72/6, פתח תקווה; טל': 050-2213355</w:t>
            </w:r>
          </w:p>
          <w:p>
            <w:pPr>
              <w:bidi/>
              <w:spacing w:line="300" w:lineRule="auto"/>
              <w:jc w:val="start"/>
            </w:pPr>
            <w:r>
              <w:rPr>
                <w:rFonts w:ascii="David" w:cs="David" w:eastAsia="David" w:hAnsi="David"/>
                <w:b w:val="false"/>
                <w:bCs w:val="false"/>
                <w:i w:val="false"/>
                <w:iCs w:val="false"/>
                <w:sz w:val="24"/>
                <w:szCs w:val="24"/>
                <w:rtl/>
              </w:rPr>
              <w:t xml:space="preserve">ע"י ב"כ עו"ד ____________________, מ.ר. __________</w:t>
            </w:r>
          </w:p>
          <w:p>
            <w:pPr>
              <w:bidi/>
              <w:spacing w:line="300" w:lineRule="auto"/>
              <w:jc w:val="start"/>
            </w:pPr>
            <w:r>
              <w:rPr>
                <w:rFonts w:ascii="David" w:cs="David" w:eastAsia="David" w:hAnsi="David"/>
                <w:b w:val="false"/>
                <w:bCs w:val="false"/>
                <w:i w:val="false"/>
                <w:iCs w:val="false"/>
                <w:sz w:val="24"/>
                <w:szCs w:val="24"/>
                <w:rtl/>
              </w:rPr>
              <w:t xml:space="preserve">מרח' ____________________; טל': ____________; דוא"ל: ____________</w:t>
            </w:r>
          </w:p>
        </w:tc>
        <w:tc>
          <w:tcPr>
            <w:tcW w:type="dxa" w:w="15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b/>
                <w:bCs/>
                <w:i w:val="false"/>
                <w:iCs w:val="false"/>
                <w:sz w:val="24"/>
                <w:szCs w:val="24"/>
                <w:rtl/>
              </w:rPr>
              <w:t xml:space="preserve">הנתבעת</w:t>
            </w:r>
          </w:p>
        </w:tc>
      </w:tr>
    </w:tbl>
    <w:p>
      <w:pPr>
        <w:keepNext/>
        <w:keepLines/>
        <w:bidi/>
        <w:spacing w:after="320" w:before="340" w:line="360" w:lineRule="auto"/>
        <w:jc w:val="center"/>
      </w:pPr>
      <w:r>
        <w:rPr>
          <w:rFonts w:ascii="David" w:cs="David" w:eastAsia="David" w:hAnsi="David"/>
          <w:b/>
          <w:bCs/>
          <w:i w:val="false"/>
          <w:iCs w:val="false"/>
          <w:sz w:val="32"/>
          <w:szCs w:val="32"/>
          <w:u w:val="single"/>
          <w:rtl/>
        </w:rPr>
        <w:t xml:space="preserve">כתב הגנה</w:t>
      </w:r>
    </w:p>
    <w:p>
      <w:pPr>
        <w:bidi/>
        <w:spacing w:after="80" w:before="0" w:line="360" w:lineRule="auto"/>
        <w:jc w:val="both"/>
      </w:pPr>
      <w:r>
        <w:rPr>
          <w:rFonts w:ascii="David" w:cs="David" w:eastAsia="David" w:hAnsi="David"/>
          <w:b/>
          <w:bCs/>
          <w:i w:val="false"/>
          <w:iCs w:val="false"/>
          <w:sz w:val="24"/>
          <w:szCs w:val="24"/>
          <w:rtl/>
        </w:rPr>
        <w:t xml:space="preserve">מהות התביעה: </w:t>
      </w:r>
      <w:r>
        <w:rPr>
          <w:rFonts w:ascii="David" w:cs="David" w:eastAsia="David" w:hAnsi="David"/>
          <w:b w:val="false"/>
          <w:bCs w:val="false"/>
          <w:i w:val="false"/>
          <w:iCs w:val="false"/>
          <w:sz w:val="24"/>
          <w:szCs w:val="24"/>
          <w:rtl/>
        </w:rPr>
        <w:t xml:space="preserve">כספית.</w:t>
      </w:r>
    </w:p>
    <w:p>
      <w:pPr>
        <w:bidi/>
        <w:spacing w:after="80" w:before="0" w:line="360" w:lineRule="auto"/>
        <w:jc w:val="both"/>
      </w:pPr>
      <w:r>
        <w:rPr>
          <w:rFonts w:ascii="David" w:cs="David" w:eastAsia="David" w:hAnsi="David"/>
          <w:b/>
          <w:bCs/>
          <w:i w:val="false"/>
          <w:iCs w:val="false"/>
          <w:sz w:val="24"/>
          <w:szCs w:val="24"/>
          <w:rtl/>
        </w:rPr>
        <w:t xml:space="preserve">סכום התביעה: </w:t>
      </w:r>
      <w:r>
        <w:rPr>
          <w:rFonts w:ascii="David" w:cs="David" w:eastAsia="David" w:hAnsi="David"/>
          <w:b w:val="false"/>
          <w:bCs w:val="false"/>
          <w:i w:val="false"/>
          <w:iCs w:val="false"/>
          <w:sz w:val="24"/>
          <w:szCs w:val="24"/>
          <w:rtl/>
        </w:rPr>
        <w:t xml:space="preserve">36,533.38 ₪.</w:t>
      </w:r>
    </w:p>
    <w:p>
      <w:pPr>
        <w:bidi/>
        <w:spacing w:after="80" w:before="0" w:line="360" w:lineRule="auto"/>
        <w:jc w:val="both"/>
      </w:pPr>
      <w:r>
        <w:rPr>
          <w:rFonts w:ascii="David" w:cs="David" w:eastAsia="David" w:hAnsi="David"/>
          <w:b/>
          <w:bCs/>
          <w:i w:val="false"/>
          <w:iCs w:val="false"/>
          <w:sz w:val="24"/>
          <w:szCs w:val="24"/>
          <w:rtl/>
        </w:rPr>
        <w:t xml:space="preserve">מסלול הדיון: </w:t>
      </w:r>
      <w:r>
        <w:rPr>
          <w:rFonts w:ascii="David" w:cs="David" w:eastAsia="David" w:hAnsi="David"/>
          <w:b w:val="false"/>
          <w:bCs w:val="false"/>
          <w:i w:val="false"/>
          <w:iCs w:val="false"/>
          <w:sz w:val="24"/>
          <w:szCs w:val="24"/>
          <w:rtl/>
        </w:rPr>
        <w:t xml:space="preserve">דיון מהיר (תקנה 78(א)(1) לתקנות סדר הדין האזרחי, התשע"ט-2018), כפי שמצהירה התובעת בנספח 6 לכתב התביעה.</w:t>
      </w:r>
    </w:p>
    <w:p>
      <w:pPr>
        <w:bidi/>
        <w:spacing w:after="80" w:before="0" w:line="360" w:lineRule="auto"/>
        <w:jc w:val="both"/>
      </w:pPr>
      <w:r>
        <w:rPr>
          <w:rFonts w:ascii="David" w:cs="David" w:eastAsia="David" w:hAnsi="David"/>
          <w:b/>
          <w:bCs/>
          <w:i w:val="false"/>
          <w:iCs w:val="false"/>
          <w:sz w:val="24"/>
          <w:szCs w:val="24"/>
          <w:rtl/>
        </w:rPr>
        <w:t xml:space="preserve">מועד המצאת כתב התביעה לנתבעת: </w:t>
      </w:r>
      <w:r>
        <w:rPr>
          <w:rFonts w:ascii="David" w:cs="David" w:eastAsia="David" w:hAnsi="David"/>
          <w:b w:val="false"/>
          <w:bCs w:val="false"/>
          <w:i w:val="false"/>
          <w:iCs w:val="false"/>
          <w:sz w:val="24"/>
          <w:szCs w:val="24"/>
          <w:rtl/>
        </w:rPr>
        <w:t xml:space="preserve">יום ______________.</w:t>
      </w:r>
    </w:p>
    <w:p>
      <w:pPr>
        <w:bidi/>
        <w:spacing w:after="80" w:before="0" w:line="360" w:lineRule="auto"/>
        <w:jc w:val="both"/>
      </w:pPr>
      <w:r>
        <w:rPr>
          <w:rFonts w:ascii="David" w:cs="David" w:eastAsia="David" w:hAnsi="David"/>
          <w:b/>
          <w:bCs/>
          <w:i w:val="false"/>
          <w:iCs w:val="false"/>
          <w:sz w:val="24"/>
          <w:szCs w:val="24"/>
          <w:rtl/>
        </w:rPr>
        <w:t xml:space="preserve">מועד אחרון להגשת כתב ההגנה: </w:t>
      </w:r>
      <w:r>
        <w:rPr>
          <w:rFonts w:ascii="David" w:cs="David" w:eastAsia="David" w:hAnsi="David"/>
          <w:b w:val="false"/>
          <w:bCs w:val="false"/>
          <w:i w:val="false"/>
          <w:iCs w:val="false"/>
          <w:sz w:val="24"/>
          <w:szCs w:val="24"/>
          <w:rtl/>
        </w:rPr>
        <w:t xml:space="preserve">יום ______________ (45 ימים ממועד ההמצאה, תקנה 80(א)).</w:t>
      </w:r>
    </w:p>
    <w:p>
      <w:pPr>
        <w:bidi/>
        <w:spacing w:after="80" w:before="0" w:line="360" w:lineRule="auto"/>
        <w:jc w:val="both"/>
      </w:pPr>
      <w:r>
        <w:rPr>
          <w:rFonts w:ascii="David" w:cs="David" w:eastAsia="David" w:hAnsi="David"/>
          <w:b/>
          <w:bCs/>
          <w:i w:val="false"/>
          <w:iCs w:val="false"/>
          <w:sz w:val="24"/>
          <w:szCs w:val="24"/>
          <w:rtl/>
        </w:rPr>
        <w:t xml:space="preserve">דבר קיומו של הליך נוסף: </w:t>
      </w:r>
      <w:r>
        <w:rPr>
          <w:rFonts w:ascii="David" w:cs="David" w:eastAsia="David" w:hAnsi="David"/>
          <w:b w:val="false"/>
          <w:bCs w:val="false"/>
          <w:i w:val="false"/>
          <w:iCs w:val="false"/>
          <w:sz w:val="24"/>
          <w:szCs w:val="24"/>
          <w:rtl/>
        </w:rPr>
        <w:t xml:space="preserve">ת"א 12718-06-26, תביעה לסילוק יד בין אותם בעלי דין, שלפי כתב התביעה הוגשה "בגין אותה מסכת עובדתית".</w:t>
      </w:r>
    </w:p>
    <w:p>
      <w:pPr>
        <w:bidi/>
        <w:spacing w:after="120" w:before="200" w:line="360" w:lineRule="auto"/>
        <w:jc w:val="both"/>
      </w:pPr>
      <w:r>
        <w:rPr>
          <w:rFonts w:ascii="David" w:cs="David" w:eastAsia="David" w:hAnsi="David"/>
          <w:b w:val="false"/>
          <w:bCs w:val="false"/>
          <w:i w:val="false"/>
          <w:iCs w:val="false"/>
          <w:sz w:val="24"/>
          <w:szCs w:val="24"/>
          <w:rtl/>
        </w:rPr>
        <w:t xml:space="preserve">הנתבעת מתכבדת להגיש כתב הגנה מטעמה. </w:t>
      </w:r>
      <w:r>
        <w:rPr>
          <w:rFonts w:ascii="David" w:cs="David" w:eastAsia="David" w:hAnsi="David"/>
          <w:b/>
          <w:bCs/>
          <w:i w:val="false"/>
          <w:iCs w:val="false"/>
          <w:sz w:val="24"/>
          <w:szCs w:val="24"/>
          <w:rtl/>
        </w:rPr>
        <w:t xml:space="preserve">כל הטענות הנטענות בכתב התביעה מוכחשות, למעט אם צוין במפורש אחרת.</w:t>
      </w:r>
    </w:p>
    <w:p>
      <w:pPr>
        <w:keepNext/>
        <w:keepLines/>
        <w:bidi/>
        <w:spacing w:after="160" w:before="240" w:line="360" w:lineRule="auto"/>
        <w:jc w:val="center"/>
      </w:pPr>
      <w:r>
        <w:rPr>
          <w:rFonts w:ascii="David" w:cs="David" w:eastAsia="David" w:hAnsi="David"/>
          <w:b/>
          <w:bCs/>
          <w:i w:val="false"/>
          <w:iCs w:val="false"/>
          <w:sz w:val="26"/>
          <w:szCs w:val="26"/>
          <w:u w:val="single"/>
          <w:rtl/>
        </w:rPr>
        <w:t xml:space="preserve">חלק שני - עיקר הטענות</w:t>
      </w:r>
    </w:p>
    <w:p>
      <w:pPr>
        <w:keepNext/>
        <w:keepLines/>
        <w:bidi/>
        <w:spacing w:after="110" w:before="180" w:line="360" w:lineRule="auto"/>
        <w:jc w:val="start"/>
      </w:pPr>
      <w:r>
        <w:rPr>
          <w:rFonts w:ascii="David" w:cs="David" w:eastAsia="David" w:hAnsi="David"/>
          <w:b/>
          <w:bCs/>
          <w:i w:val="false"/>
          <w:iCs w:val="false"/>
          <w:sz w:val="24"/>
          <w:szCs w:val="24"/>
          <w:u w:val="single"/>
          <w:rtl/>
        </w:rPr>
        <w:t xml:space="preserve">טענות מקדמיות</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1.</w:t>
      </w:r>
      <w:r>
        <w:rPr>
          <w:rFonts w:ascii="David" w:cs="David" w:eastAsia="David" w:hAnsi="David"/>
          <w:sz w:val="24"/>
          <w:szCs w:val="24"/>
          <w:rtl/>
        </w:rPr>
        <w:tab/>
      </w:r>
      <w:r>
        <w:rPr>
          <w:rFonts w:ascii="David" w:cs="David" w:eastAsia="David" w:hAnsi="David"/>
          <w:b/>
          <w:bCs/>
          <w:i w:val="false"/>
          <w:iCs w:val="false"/>
          <w:sz w:val="24"/>
          <w:szCs w:val="24"/>
          <w:rtl/>
        </w:rPr>
        <w:t xml:space="preserve">פיצול סעדים.</w:t>
      </w:r>
      <w:r>
        <w:rPr>
          <w:rFonts w:ascii="David" w:cs="David" w:eastAsia="David" w:hAnsi="David"/>
          <w:b w:val="false"/>
          <w:bCs w:val="false"/>
          <w:i w:val="false"/>
          <w:iCs w:val="false"/>
          <w:sz w:val="24"/>
          <w:szCs w:val="24"/>
          <w:rtl/>
        </w:rPr>
        <w:t xml:space="preserve"> בעמוד השער לכתב תביעתה מציינת התובעת כי תלויה ועומדת נגד הנתבעת תביעה לסילוק יד, ת"א 12718-06-26, "בגין אותה מסכת עובדתית". תקנות 24 ו-25(ב) לתקנות סדר הדין האזרחי, התשע"ט-2018 מחייבות לאחד בכתב תביעה אחד את כל עילות התביעה והסעדים בשל אותה מסכת עובדתית, זולת אם ניתנה רשות לפיצול; רשות כזו לא נטענה ולא הוצגה. דין התביעה להימחק, ולמצער מתבקש איחוד הדיון בשני ההליכים.</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2.</w:t>
      </w:r>
      <w:r>
        <w:rPr>
          <w:rFonts w:ascii="David" w:cs="David" w:eastAsia="David" w:hAnsi="David"/>
          <w:sz w:val="24"/>
          <w:szCs w:val="24"/>
          <w:rtl/>
        </w:rPr>
        <w:tab/>
      </w:r>
      <w:r>
        <w:rPr>
          <w:rFonts w:ascii="David" w:cs="David" w:eastAsia="David" w:hAnsi="David"/>
          <w:b/>
          <w:bCs/>
          <w:i w:val="false"/>
          <w:iCs w:val="false"/>
          <w:sz w:val="24"/>
          <w:szCs w:val="24"/>
          <w:rtl/>
        </w:rPr>
        <w:t xml:space="preserve">היעדר עילה.</w:t>
      </w:r>
      <w:r>
        <w:rPr>
          <w:rFonts w:ascii="David" w:cs="David" w:eastAsia="David" w:hAnsi="David"/>
          <w:b w:val="false"/>
          <w:bCs w:val="false"/>
          <w:i w:val="false"/>
          <w:iCs w:val="false"/>
          <w:sz w:val="24"/>
          <w:szCs w:val="24"/>
          <w:rtl/>
        </w:rPr>
        <w:t xml:space="preserve"> התביעה נשענת על טענה אחת: כי ועדה מוסמכת קבעה שאין הנתבעת זכאית להחזיק בדירה כדיירת ממשיכה. ההחלטה עצמה לא צורפה, לא נומקה, לא ניתנה לאחר שימוע ולא הומצאה לנתבעת. בהיעדר החלטה תקפה, אין לתביעה על מה לעמוד.</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3.</w:t>
      </w:r>
      <w:r>
        <w:rPr>
          <w:rFonts w:ascii="David" w:cs="David" w:eastAsia="David" w:hAnsi="David"/>
          <w:sz w:val="24"/>
          <w:szCs w:val="24"/>
          <w:rtl/>
        </w:rPr>
        <w:tab/>
      </w:r>
      <w:r>
        <w:rPr>
          <w:rFonts w:ascii="David" w:cs="David" w:eastAsia="David" w:hAnsi="David"/>
          <w:b/>
          <w:bCs/>
          <w:i w:val="false"/>
          <w:iCs w:val="false"/>
          <w:sz w:val="24"/>
          <w:szCs w:val="24"/>
          <w:rtl/>
        </w:rPr>
        <w:t xml:space="preserve">אי-צירוף מסמכים.</w:t>
      </w:r>
      <w:r>
        <w:rPr>
          <w:rFonts w:ascii="David" w:cs="David" w:eastAsia="David" w:hAnsi="David"/>
          <w:b w:val="false"/>
          <w:bCs w:val="false"/>
          <w:i w:val="false"/>
          <w:iCs w:val="false"/>
          <w:sz w:val="24"/>
          <w:szCs w:val="24"/>
          <w:rtl/>
        </w:rPr>
        <w:t xml:space="preserve"> בדיון מהיר חייב בעל דין לצרף לכתב טענותיו את המסמכים הנוגעים לעניין (תקנה 79(א)(2)). התובעת לא צירפה את החלטת הוועדה, את בקשת הנתבעת להכרה כדיירת ממשיכה, כל הודעה שנמסרה לנתבעת, ולו התראה אחת מ"ההתראות החוזרות ונשנות" הנטענות בסעיף 2 לכתב התביעה, חוות דעת בדבר שווי דמי שימוש ראויים, ואת השוברים והקבלות שלפיהם גבתה כספים. מתבקש לקבוע כי לא תורשה להסתמך עליהם כראיה.</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4.</w:t>
      </w:r>
      <w:r>
        <w:rPr>
          <w:rFonts w:ascii="David" w:cs="David" w:eastAsia="David" w:hAnsi="David"/>
          <w:sz w:val="24"/>
          <w:szCs w:val="24"/>
          <w:rtl/>
        </w:rPr>
        <w:tab/>
      </w:r>
      <w:r>
        <w:rPr>
          <w:rFonts w:ascii="David" w:cs="David" w:eastAsia="David" w:hAnsi="David"/>
          <w:b/>
          <w:bCs/>
          <w:i w:val="false"/>
          <w:iCs w:val="false"/>
          <w:sz w:val="24"/>
          <w:szCs w:val="24"/>
          <w:rtl/>
        </w:rPr>
        <w:t xml:space="preserve">תצהיר פגום.</w:t>
      </w:r>
      <w:r>
        <w:rPr>
          <w:rFonts w:ascii="David" w:cs="David" w:eastAsia="David" w:hAnsi="David"/>
          <w:b w:val="false"/>
          <w:bCs w:val="false"/>
          <w:i w:val="false"/>
          <w:iCs w:val="false"/>
          <w:sz w:val="24"/>
          <w:szCs w:val="24"/>
          <w:rtl/>
        </w:rPr>
        <w:t xml:space="preserve"> התצהיר שצורף כנספח 6 נעדר ציון קריא של שם המצהיר ותפקידו, ומאמת באופן גורף את "כל האמור בסעיפים 1-23", לרבות טענות משפטיות ומסקנות, ללא אבחנה בין ידיעה אישית לידיעה שבאמונה (תקנה 178(א)).</w:t>
      </w:r>
    </w:p>
    <w:p>
      <w:pPr>
        <w:keepNext/>
        <w:keepLines/>
        <w:bidi/>
        <w:spacing w:after="110" w:before="180" w:line="360" w:lineRule="auto"/>
        <w:jc w:val="start"/>
      </w:pPr>
      <w:r>
        <w:rPr>
          <w:rFonts w:ascii="David" w:cs="David" w:eastAsia="David" w:hAnsi="David"/>
          <w:b/>
          <w:bCs/>
          <w:i w:val="false"/>
          <w:iCs w:val="false"/>
          <w:sz w:val="24"/>
          <w:szCs w:val="24"/>
          <w:u w:val="single"/>
          <w:rtl/>
        </w:rPr>
        <w:t xml:space="preserve">תמצית טענות ההגנה</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5.</w:t>
      </w:r>
      <w:r>
        <w:rPr>
          <w:rFonts w:ascii="David" w:cs="David" w:eastAsia="David" w:hAnsi="David"/>
          <w:sz w:val="24"/>
          <w:szCs w:val="24"/>
          <w:rtl/>
        </w:rPr>
        <w:tab/>
      </w:r>
      <w:r>
        <w:rPr>
          <w:rFonts w:ascii="David" w:cs="David" w:eastAsia="David" w:hAnsi="David"/>
          <w:b/>
          <w:bCs/>
          <w:i w:val="false"/>
          <w:iCs w:val="false"/>
          <w:sz w:val="24"/>
          <w:szCs w:val="24"/>
          <w:rtl/>
        </w:rPr>
        <w:t xml:space="preserve">הנתבעת אינה פולשת.</w:t>
      </w:r>
      <w:r>
        <w:rPr>
          <w:rFonts w:ascii="David" w:cs="David" w:eastAsia="David" w:hAnsi="David"/>
          <w:b w:val="false"/>
          <w:bCs w:val="false"/>
          <w:i w:val="false"/>
          <w:iCs w:val="false"/>
          <w:sz w:val="24"/>
          <w:szCs w:val="24"/>
          <w:rtl/>
        </w:rPr>
        <w:t xml:space="preserve"> היא בתו של הדייר החוזי, מר מנבר וונדימאג'ן ז"ל, שהתגורר בדירה מיום 8.8.1996 ועד לפטירתו ביום 16.2.2024. הנתבעת התגוררה עמו בדירה למעלה משלוש שנים בסמוך לפטירתו וטיפלה בו בשנותיו האחרונות, ומשכך היא "דייר ממשיך" כהגדרתו בסעיף 1 לחוק זכויות הדייר בדיור הציבורי, התשנ"ח-1998. אף התובעת נהגה בה ככזו: היא קיבלה את בקשתה להכרה כדיירת ממשיכה והביאה אותה בפני ועדה מטעמה.</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6.</w:t>
      </w:r>
      <w:r>
        <w:rPr>
          <w:rFonts w:ascii="David" w:cs="David" w:eastAsia="David" w:hAnsi="David"/>
          <w:sz w:val="24"/>
          <w:szCs w:val="24"/>
          <w:rtl/>
        </w:rPr>
        <w:tab/>
      </w:r>
      <w:r>
        <w:rPr>
          <w:rFonts w:ascii="David" w:cs="David" w:eastAsia="David" w:hAnsi="David"/>
          <w:b/>
          <w:bCs/>
          <w:i w:val="false"/>
          <w:iCs w:val="false"/>
          <w:sz w:val="24"/>
          <w:szCs w:val="24"/>
          <w:rtl/>
        </w:rPr>
        <w:t xml:space="preserve">גם לשיטת התובעת אין מדובר בהחזקה שלא כדין.</w:t>
      </w:r>
      <w:r>
        <w:rPr>
          <w:rFonts w:ascii="David" w:cs="David" w:eastAsia="David" w:hAnsi="David"/>
          <w:b w:val="false"/>
          <w:bCs w:val="false"/>
          <w:i w:val="false"/>
          <w:iCs w:val="false"/>
          <w:sz w:val="24"/>
          <w:szCs w:val="24"/>
          <w:rtl/>
        </w:rPr>
        <w:t xml:space="preserve"> סעיף 3(א) לחוק אינו קובע כי דייר ממשיך שאינו זכאי באופן עצמאי הופך לפולש, אלא כי עליו לפנות את הדירה "בתוך תשעה חודשים מהמועד שבו נמסרה לו הודעה מאת משרד הבינוי והשיכון, בדבר אי-זכאותו לדירה ציבורית לפי הכללים". הודעה כזו מעולם לא נמסרה לנתבעת, ואיננה בין נספחי כתב התביעה. כל עוד לא נמסרה, ובמשך תשעה חודשים לאחריה, החזקת הנתבעת בדירה כדין ולא קמה עילה לדמי שימוש ראויים.</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7.</w:t>
      </w:r>
      <w:r>
        <w:rPr>
          <w:rFonts w:ascii="David" w:cs="David" w:eastAsia="David" w:hAnsi="David"/>
          <w:sz w:val="24"/>
          <w:szCs w:val="24"/>
          <w:rtl/>
        </w:rPr>
        <w:tab/>
      </w:r>
      <w:r>
        <w:rPr>
          <w:rFonts w:ascii="David" w:cs="David" w:eastAsia="David" w:hAnsi="David"/>
          <w:b/>
          <w:bCs/>
          <w:i w:val="false"/>
          <w:iCs w:val="false"/>
          <w:sz w:val="24"/>
          <w:szCs w:val="24"/>
          <w:rtl/>
        </w:rPr>
        <w:t xml:space="preserve">התובעת עצמה לא ראתה בנתבעת פולשת.</w:t>
      </w:r>
      <w:r>
        <w:rPr>
          <w:rFonts w:ascii="David" w:cs="David" w:eastAsia="David" w:hAnsi="David"/>
          <w:b w:val="false"/>
          <w:bCs w:val="false"/>
          <w:i w:val="false"/>
          <w:iCs w:val="false"/>
          <w:sz w:val="24"/>
          <w:szCs w:val="24"/>
          <w:rtl/>
        </w:rPr>
        <w:t xml:space="preserve"> בביקור שערכה בדירה ביום 3.7.2024, לאחר שידעה על הפטירה, רשמה נציגתה כי סטטוס החוזה "פעיל", כי שכר הדירה נטו הוא 221.19 ₪, כי הנחת המדרוג בתוקף עד 30.9.2024, וכי "חוב בתביעה" הוא 0.</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8.</w:t>
      </w:r>
      <w:r>
        <w:rPr>
          <w:rFonts w:ascii="David" w:cs="David" w:eastAsia="David" w:hAnsi="David"/>
          <w:sz w:val="24"/>
          <w:szCs w:val="24"/>
          <w:rtl/>
        </w:rPr>
        <w:tab/>
      </w:r>
      <w:r>
        <w:rPr>
          <w:rFonts w:ascii="David" w:cs="David" w:eastAsia="David" w:hAnsi="David"/>
          <w:b/>
          <w:bCs/>
          <w:i w:val="false"/>
          <w:iCs w:val="false"/>
          <w:sz w:val="24"/>
          <w:szCs w:val="24"/>
          <w:rtl/>
        </w:rPr>
        <w:t xml:space="preserve">התובעת גבתה תשלומים בפועל:</w:t>
      </w:r>
      <w:r>
        <w:rPr>
          <w:rFonts w:ascii="David" w:cs="David" w:eastAsia="David" w:hAnsi="David"/>
          <w:b w:val="false"/>
          <w:bCs w:val="false"/>
          <w:i w:val="false"/>
          <w:iCs w:val="false"/>
          <w:sz w:val="24"/>
          <w:szCs w:val="24"/>
          <w:rtl/>
        </w:rPr>
        <w:t xml:space="preserve"> קבלה על שכר דירה מיום 23.7.2024 ששולמה, ותשלום נוסף של 2,911.01 ₪ ביום 27.3.2025. אף לפי הכרטסת שערכה התובעת, מספר חודשי אי-התשלום עומד על 12 מתוך למעלה מעשרים וארבעה חודשי התקופה הנטענת.</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9.</w:t>
      </w:r>
      <w:r>
        <w:rPr>
          <w:rFonts w:ascii="David" w:cs="David" w:eastAsia="David" w:hAnsi="David"/>
          <w:sz w:val="24"/>
          <w:szCs w:val="24"/>
          <w:rtl/>
        </w:rPr>
        <w:tab/>
      </w:r>
      <w:r>
        <w:rPr>
          <w:rFonts w:ascii="David" w:cs="David" w:eastAsia="David" w:hAnsi="David"/>
          <w:b/>
          <w:bCs/>
          <w:i w:val="false"/>
          <w:iCs w:val="false"/>
          <w:sz w:val="24"/>
          <w:szCs w:val="24"/>
          <w:rtl/>
        </w:rPr>
        <w:t xml:space="preserve">החלטת הוועדה בטלה.</w:t>
      </w:r>
      <w:r>
        <w:rPr>
          <w:rFonts w:ascii="David" w:cs="David" w:eastAsia="David" w:hAnsi="David"/>
          <w:b w:val="false"/>
          <w:bCs w:val="false"/>
          <w:i w:val="false"/>
          <w:iCs w:val="false"/>
          <w:sz w:val="24"/>
          <w:szCs w:val="24"/>
          <w:rtl/>
        </w:rPr>
        <w:t xml:space="preserve"> היא ניתנה ללא הנמקה, ללא שימוע וללא המצאה, על יסוד תשתית עובדתית שגויה, ומבלי שנבחנה כלל זכאותה העצמאית של הנתבעת לדירה ציבורית. הנתבעת תוקפת אותה בתקיפה עקיפה.</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10.</w:t>
      </w:r>
      <w:r>
        <w:rPr>
          <w:rFonts w:ascii="David" w:cs="David" w:eastAsia="David" w:hAnsi="David"/>
          <w:sz w:val="24"/>
          <w:szCs w:val="24"/>
          <w:rtl/>
        </w:rPr>
        <w:tab/>
      </w:r>
      <w:r>
        <w:rPr>
          <w:rFonts w:ascii="David" w:cs="David" w:eastAsia="David" w:hAnsi="David"/>
          <w:b/>
          <w:bCs/>
          <w:i w:val="false"/>
          <w:iCs w:val="false"/>
          <w:sz w:val="24"/>
          <w:szCs w:val="24"/>
          <w:rtl/>
        </w:rPr>
        <w:t xml:space="preserve">הסכום הנתבע לא הוכח.</w:t>
      </w:r>
      <w:r>
        <w:rPr>
          <w:rFonts w:ascii="David" w:cs="David" w:eastAsia="David" w:hAnsi="David"/>
          <w:b w:val="false"/>
          <w:bCs w:val="false"/>
          <w:i w:val="false"/>
          <w:iCs w:val="false"/>
          <w:sz w:val="24"/>
          <w:szCs w:val="24"/>
          <w:rtl/>
        </w:rPr>
        <w:t xml:space="preserve"> לא הוצגה חוות דעת ולא כל אסמכתה חיצונית לשווי דמי שימוש ראויים בדירה. החיוב החודשי שגזרה התובעת לעצמה עומד על פי שלושה עשר משכר הדירה נטו שהיא עצמה קבעה באותה תקופה.</w:t>
      </w:r>
    </w:p>
    <w:p>
      <w:pPr>
        <w:keepNext/>
        <w:keepLines/>
        <w:bidi/>
        <w:spacing w:after="110" w:before="180" w:line="360" w:lineRule="auto"/>
        <w:jc w:val="start"/>
      </w:pPr>
      <w:r>
        <w:rPr>
          <w:rFonts w:ascii="David" w:cs="David" w:eastAsia="David" w:hAnsi="David"/>
          <w:b/>
          <w:bCs/>
          <w:i w:val="false"/>
          <w:iCs w:val="false"/>
          <w:sz w:val="24"/>
          <w:szCs w:val="24"/>
          <w:u w:val="single"/>
          <w:rtl/>
        </w:rPr>
        <w:t xml:space="preserve">טיעונים לעניין הסעד המבוקש</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11.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דין התביעה להידחות. לחלופין, מתבקש בית המשפט לפטור את הנתבעת מהשבה לפי סעיף 2 לחוק עשיית עושר ולא במשפט, התשל"ט-1979, בשל נסיבות העושות את ההשבה בלתי צודקת. לחלופי חלופין, ככל שייקבע חיוב, יועמד על דמי השכירות המסובסדים שקבעה התובעת עצמה, בניכוי כל התשלומים ששולמו בפועל.</w:t>
      </w:r>
    </w:p>
    <w:p>
      <w:pPr>
        <w:keepNext/>
        <w:keepLines/>
        <w:bidi/>
        <w:spacing w:after="160" w:before="240" w:line="360" w:lineRule="auto"/>
        <w:jc w:val="center"/>
      </w:pPr>
      <w:r>
        <w:rPr>
          <w:rFonts w:ascii="David" w:cs="David" w:eastAsia="David" w:hAnsi="David"/>
          <w:b/>
          <w:bCs/>
          <w:i w:val="false"/>
          <w:iCs w:val="false"/>
          <w:sz w:val="26"/>
          <w:szCs w:val="26"/>
          <w:u w:val="single"/>
          <w:rtl/>
        </w:rPr>
        <w:t xml:space="preserve">חלק שלישי - טיעון עובדתי</w:t>
      </w:r>
    </w:p>
    <w:p>
      <w:pPr>
        <w:keepNext/>
        <w:keepLines/>
        <w:bidi/>
        <w:spacing w:after="110" w:before="180" w:line="360" w:lineRule="auto"/>
        <w:jc w:val="start"/>
      </w:pPr>
      <w:r>
        <w:rPr>
          <w:rFonts w:ascii="David" w:cs="David" w:eastAsia="David" w:hAnsi="David"/>
          <w:b/>
          <w:bCs/>
          <w:i w:val="false"/>
          <w:iCs w:val="false"/>
          <w:sz w:val="24"/>
          <w:szCs w:val="24"/>
          <w:u w:val="single"/>
          <w:rtl/>
        </w:rPr>
        <w:t xml:space="preserve">א. הרקע</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12.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הדירה ברח' צה"ל 72/6 בפתח תקווה הושכרה לאביה המנוח של הנתבעת על פי חוזה מיום 29.8.1996, ומועד האכלוס הוא 8.8.1996. המנוח עלה ארצה מאתיופיה ביום 25.5.1991, ומצבו המשפחתי נרשם בטפסי התובעת כ"חד הורי". הוא נפטר ביום 16.2.2024. הנתבעת התגוררה עמו בדירה בתקופה העולה על שלוש שנים בסמוך לפטירתו, ונשאה בטיפול בו בשנותיו האחרונות, עת היה חולה ותלוי בזולת.</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13.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התובעת נסמכת על "ביקורי מעגל" ועל הצהרות שהחתימה את המנוח, לפיהן התגורר בגפו. אלה מסמכים שהתובעת ניסחה והחתימה עליהם קשיש עולה מאתיופיה, כשהרובריקות "באיזו שפה נערך הביקור" ו"נכח מתרגם" נותרו ריקות, ובאותם טפסים עצמם נרשם כי מספר ילדיו "0" לצד מצב משפחתי "חד הורי", ותאריך לידתו נרשם כ-1.7.1943 בעוד תעודת הפטירה נוקבת ב-23.9.1943.</w:t>
      </w:r>
    </w:p>
    <w:p>
      <w:pPr>
        <w:keepNext/>
        <w:keepLines/>
        <w:bidi/>
        <w:spacing w:after="110" w:before="180" w:line="360" w:lineRule="auto"/>
        <w:jc w:val="start"/>
      </w:pPr>
      <w:r>
        <w:rPr>
          <w:rFonts w:ascii="David" w:cs="David" w:eastAsia="David" w:hAnsi="David"/>
          <w:b/>
          <w:bCs/>
          <w:i w:val="false"/>
          <w:iCs w:val="false"/>
          <w:sz w:val="24"/>
          <w:szCs w:val="24"/>
          <w:u w:val="single"/>
          <w:rtl/>
        </w:rPr>
        <w:t xml:space="preserve">ב. התנהלות התובעת לאחר הפטירה</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14.</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ביום 3.7.2024, כארבעה חודשים וחצי לאחר הפטירה, ערכה נציגת התובעת ביקור בדירה. בטופס "סיכום ביקור" שערכה (עמ' 38 לכתב התביעה) רשמה בהערות: </w:t>
      </w:r>
      <w:r>
        <w:rPr>
          <w:rFonts w:ascii="David" w:cs="David" w:eastAsia="David" w:hAnsi="David"/>
          <w:b/>
          <w:bCs/>
          <w:i w:val="false"/>
          <w:iCs w:val="false"/>
          <w:sz w:val="24"/>
          <w:szCs w:val="24"/>
          <w:rtl/>
        </w:rPr>
        <w:t xml:space="preserve">"דייר חוזי נפטר, ביקור עם הבת עדן טדלה"</w:t>
      </w:r>
      <w:r>
        <w:rPr>
          <w:rFonts w:ascii="David" w:cs="David" w:eastAsia="David" w:hAnsi="David"/>
          <w:b w:val="false"/>
          <w:bCs w:val="false"/>
          <w:i w:val="false"/>
          <w:iCs w:val="false"/>
          <w:sz w:val="24"/>
          <w:szCs w:val="24"/>
          <w:rtl/>
        </w:rPr>
        <w:t xml:space="preserve">. באותו טופס נרשם:</w:t>
      </w:r>
    </w:p>
    <w:p>
      <w:pPr>
        <w:keepLines/>
        <w:bidi/>
        <w:spacing w:after="160" w:before="80" w:line="300" w:lineRule="auto"/>
        <w:ind w:start="780" w:end="300"/>
        <w:jc w:val="both"/>
      </w:pPr>
      <w:r>
        <w:rPr>
          <w:rFonts w:ascii="David" w:cs="David" w:eastAsia="David" w:hAnsi="David"/>
          <w:b w:val="false"/>
          <w:bCs w:val="false"/>
          <w:i w:val="false"/>
          <w:iCs w:val="false"/>
          <w:sz w:val="24"/>
          <w:szCs w:val="24"/>
          <w:rtl/>
        </w:rPr>
        <w:t xml:space="preserve">"מצב אכלוס: שכירות"; </w:t>
      </w:r>
      <w:r>
        <w:rPr>
          <w:rFonts w:ascii="David" w:cs="David" w:eastAsia="David" w:hAnsi="David"/>
          <w:b/>
          <w:bCs/>
          <w:i w:val="false"/>
          <w:iCs w:val="false"/>
          <w:sz w:val="24"/>
          <w:szCs w:val="24"/>
          <w:rtl/>
        </w:rPr>
        <w:t xml:space="preserve">"סטטוס חוזה: פעיל"</w:t>
      </w:r>
      <w:r>
        <w:rPr>
          <w:rFonts w:ascii="David" w:cs="David" w:eastAsia="David" w:hAnsi="David"/>
          <w:b w:val="false"/>
          <w:bCs w:val="false"/>
          <w:i w:val="false"/>
          <w:iCs w:val="false"/>
          <w:sz w:val="24"/>
          <w:szCs w:val="24"/>
          <w:rtl/>
        </w:rPr>
        <w:t xml:space="preserve">; "שימוש בפועל: מגורים"; </w:t>
      </w:r>
      <w:r>
        <w:rPr>
          <w:rFonts w:ascii="David" w:cs="David" w:eastAsia="David" w:hAnsi="David"/>
          <w:b/>
          <w:bCs/>
          <w:i w:val="false"/>
          <w:iCs w:val="false"/>
          <w:sz w:val="24"/>
          <w:szCs w:val="24"/>
          <w:rtl/>
        </w:rPr>
        <w:t xml:space="preserve">"שכ"ד נטו: 221.19"</w:t>
      </w:r>
      <w:r>
        <w:rPr>
          <w:rFonts w:ascii="David" w:cs="David" w:eastAsia="David" w:hAnsi="David"/>
          <w:b w:val="false"/>
          <w:bCs w:val="false"/>
          <w:i w:val="false"/>
          <w:iCs w:val="false"/>
          <w:sz w:val="24"/>
          <w:szCs w:val="24"/>
          <w:rtl/>
        </w:rPr>
        <w:t xml:space="preserve">; "הנחת מדרוג: מידרוג ארצי - מינימום"; </w:t>
      </w:r>
      <w:r>
        <w:rPr>
          <w:rFonts w:ascii="David" w:cs="David" w:eastAsia="David" w:hAnsi="David"/>
          <w:b/>
          <w:bCs/>
          <w:i w:val="false"/>
          <w:iCs w:val="false"/>
          <w:sz w:val="24"/>
          <w:szCs w:val="24"/>
          <w:rtl/>
        </w:rPr>
        <w:t xml:space="preserve">"מועד סיום הנחה: 30/09/2024"</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"חוב בתביעה: 0"</w:t>
      </w:r>
      <w:r>
        <w:rPr>
          <w:rFonts w:ascii="David" w:cs="David" w:eastAsia="David" w:hAnsi="David"/>
          <w:b w:val="false"/>
          <w:bCs w:val="false"/>
          <w:i w:val="false"/>
          <w:iCs w:val="false"/>
          <w:sz w:val="24"/>
          <w:szCs w:val="24"/>
          <w:rtl/>
        </w:rPr>
        <w:t xml:space="preserve">.</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15.</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ביום 23.7.2024 הנפיקה התובעת קבלה-חשבונית מס' 9007915735 על סך 1,355.71 ₪, בגין שכר דירה (קוד 101), לחודשים 02/2024 עד 07/2024. הקבלה הוצאה על שם הדייר החוזי המנוח ולחשבונו (חשבון 60347), כחמישה חודשים לאחר פטירתו. הסכום שולם.</w:t>
      </w:r>
    </w:p>
    <w:p>
      <w:pPr>
        <w:keepLines/>
        <w:bidi/>
        <w:spacing w:after="80" w:line="360" w:lineRule="auto"/>
        <w:ind w:start="680" w:end="200"/>
        <w:jc w:val="both"/>
      </w:pPr>
      <w:r>
        <w:rPr>
          <w:rFonts w:ascii="David" w:cs="David" w:eastAsia="David" w:hAnsi="David"/>
          <w:b/>
          <w:bCs/>
          <w:i w:val="false"/>
          <w:iCs w:val="false"/>
          <w:sz w:val="24"/>
          <w:szCs w:val="24"/>
          <w:rtl/>
        </w:rPr>
        <w:t xml:space="preserve">העתק הקבלה מיום 23.7.2024 מצ"ב ומסומן כנספח א'.</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16.</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ביום 17.9.2024, לאחר המועד הנקוב בפרוטוקול הוועדה (2.9.2024), הוציאה התובעת שובר חדש מס' 9007925756, הפעם על שם הנתבעת, ובו נדרשה לשלם בגין אותם חודשים בתוספת שניים סך 21,730.81 ₪ תחת הכותרת "דמי שמוש ראויים" (קוד 103). כך, בגין החודשים 04/2024 עד 07/2024 לכל הפחות, חויבה הדירה פעמיים.</w:t>
      </w:r>
    </w:p>
    <w:p>
      <w:pPr>
        <w:keepLines/>
        <w:bidi/>
        <w:spacing w:after="80" w:line="360" w:lineRule="auto"/>
        <w:ind w:start="680" w:end="200"/>
        <w:jc w:val="both"/>
      </w:pPr>
      <w:r>
        <w:rPr>
          <w:rFonts w:ascii="David" w:cs="David" w:eastAsia="David" w:hAnsi="David"/>
          <w:b/>
          <w:bCs/>
          <w:i w:val="false"/>
          <w:iCs w:val="false"/>
          <w:sz w:val="24"/>
          <w:szCs w:val="24"/>
          <w:rtl/>
        </w:rPr>
        <w:t xml:space="preserve">העתק השובר מיום 17.9.2024 מצ"ב ומסומן כנספח ב'.</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17.</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ביום 27.3.2025 שילמה הנתבעת לתובעת 2,911.01 ₪ מחשבונה בבנק יהב, על פי שובר מס' 9007961452 שהתובעת שלחה אליה. הכסף לא הושב.</w:t>
      </w:r>
    </w:p>
    <w:p>
      <w:pPr>
        <w:keepLines/>
        <w:bidi/>
        <w:spacing w:after="80" w:line="360" w:lineRule="auto"/>
        <w:ind w:start="680" w:end="200"/>
        <w:jc w:val="both"/>
      </w:pPr>
      <w:r>
        <w:rPr>
          <w:rFonts w:ascii="David" w:cs="David" w:eastAsia="David" w:hAnsi="David"/>
          <w:b/>
          <w:bCs/>
          <w:i w:val="false"/>
          <w:iCs w:val="false"/>
          <w:sz w:val="24"/>
          <w:szCs w:val="24"/>
          <w:rtl/>
        </w:rPr>
        <w:t xml:space="preserve">העתק אישור בנק יהב מיום 27.3.2025 מצ"ב ומסומן כנספח ג'.</w:t>
      </w:r>
    </w:p>
    <w:p>
      <w:pPr>
        <w:keepNext/>
        <w:keepLines/>
        <w:bidi/>
        <w:spacing w:after="110" w:before="180" w:line="360" w:lineRule="auto"/>
        <w:jc w:val="start"/>
      </w:pPr>
      <w:r>
        <w:rPr>
          <w:rFonts w:ascii="David" w:cs="David" w:eastAsia="David" w:hAnsi="David"/>
          <w:b/>
          <w:bCs/>
          <w:i w:val="false"/>
          <w:iCs w:val="false"/>
          <w:sz w:val="24"/>
          <w:szCs w:val="24"/>
          <w:u w:val="single"/>
          <w:rtl/>
        </w:rPr>
        <w:t xml:space="preserve">ג. פגמי החלטת הוועדה</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18.</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נספח 4 לכתב התביעה אינו החלטה אלא טופס שרובו לא מולא: הפרק "נימוקים והמלצות" ריק; הפרק "החלטת הוועדה המחוזית" נושא שתי שורות בכתב יד ליד התאריך 2.9.24, ללא נימוק; השדה "מצ"ב החלטת ועדה מיום ___" ריק, ומסמך ההחלטה שאליו הוא מפנה לא הוצג; העמוד השני ריק; והרובריקה "למילוי ע"י סגן מנהל מרכז שרות" נושאת את התאריך 1.11.2023, בלא שם ובלא חתימה, קרי למעלה משלושה חודשים לפני הפטירה. חובת ההנמקה קבועה בסעיף 2 לחוק לתיקון סדרי המינהל (החלטות והנמקות), התשי"ט-1958, והחלטה הפוגעת בזכות לדיור שאינה מנומקת ושלא קדם לה שימוע אינה יכולה לעמוד.</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19.</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בטבלת ביקורי המעגל (עמ' 42) נרשם ביחס לביקור מיום 3.7.2024 כי הדייר החוזי "גר: כן", ארבעה חודשים וחצי לאחר פטירתו; ובאותה שורה, היחידה שנערכה לאחר הפטירה, נרשם ביחס לדייר הממשיך "גר? כן". וביחס לביקור מיום 18.12.2023 נרשם בטופס (עמ' 37) "נקבע מספר פעמים ביקור בית, הדייר אומר אני אהיה בבית, לא נצא", והרובריקה "גר/ה בגפו/ה" נותרה ריקה; חרף זאת נרשם בטבלה כי הדייר הממשיך "לא" גר בדירה.</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20.</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הטופס בוחן תנאי אחד בלבד: ביקורי מעגל מיום 1.8.2009 ולא פחות מארבע שנות מגורים רצופות, קרי תנאי הוראת המעבר המקנה זכות לפי נוסחו הקודם של סעיף 3. הוא אינו בוחן כלל את זכאותה העצמאית של הנתבעת לדירה ציבורית לפי הכללים, שהיא החלופה הקבועה בסעיף 3(ב) לחוק, ואשר בהתקיימה רואים את הדייר הממשיך כמי שבא בנעלי הזכאי לכל דבר ועניין. ואכן, השדות שבטופס לעניין זה, ובהם "חסר דירה" ו"מומש סיוע בשכ"ד", נותרו ריקים. ועדה שלא בחנה את החלופה השנייה לא מיצתה את שיקול דעתה. יצוין עוד כי דרך ההוכחה היחידה שהטופס מתווה היא מסמכים שהתובעת עצמה עורכת ומחזיקה.</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21.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מעבר לכך, ההודעה שסעיף 3(א) מתנה בה את חובת הפינוי היא הודעה מאת משרד הבינוי והשיכון. ועדה פנימית של התובעת אינה משרד הבינוי והשיכון, ופרוטוקול שלא נמסר לנתבעת אינו הודעה. ממילא לא החל מניין תשעת החודשים, וממילא לא הפכה החזקת הנתבעת לשלא כדין.</w:t>
      </w:r>
    </w:p>
    <w:p>
      <w:pPr>
        <w:keepNext/>
        <w:keepLines/>
        <w:bidi/>
        <w:spacing w:after="110" w:before="180" w:line="360" w:lineRule="auto"/>
        <w:jc w:val="start"/>
      </w:pPr>
      <w:r>
        <w:rPr>
          <w:rFonts w:ascii="David" w:cs="David" w:eastAsia="David" w:hAnsi="David"/>
          <w:b/>
          <w:bCs/>
          <w:i w:val="false"/>
          <w:iCs w:val="false"/>
          <w:sz w:val="24"/>
          <w:szCs w:val="24"/>
          <w:u w:val="single"/>
          <w:rtl/>
        </w:rPr>
        <w:t xml:space="preserve">ד. חומר הרווחה</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22.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מצוקת הדיור של הנתבעת מתועדת מזה למעלה מעשור. בשנת 2013 פנתה בכתב אל משרד הבינוי והשיכון בבקשה לפתרון דיור, ותיארה כי אין לה קורת גג משלה, כי היא מתגוררת בדירה שכורה בחסדי בני משפחה עם שלושת ילדיה הקטנים, וכי מצבה הכלכלי קשה. הפנייה נמסרה באמצעות מרכז אלונים, מקבוצת מ.ג.ע.ר., גורם רווחה ושיקום, ואושרה בחותמתו כ"העתק נאמן למקור" ביום 28.6.2013. העתק המכתב מצ"ב ומסומן כנספח ד'.</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23.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אין אפוא לפני בית המשפט מי שביקשה לנצל את פטירת אביה, אלא אישה שמצוקת הדיור שלה תועדה שנים רבות קודם לכן. לחומר זה משקל משפטי ישיר: הוא נוגע לזכאותה העצמאית של הנתבעת לדירה ציבורית לפי הכללים, שהיא כאמור החלופה שבסעיף 3(ב) לחוק. בנספח 4 אין ולו התייחסות אחת למצבה, לילדיה, למצבה הכלכלי או הרפואי, או לחומר הרווחה שבידי המדינה.</w:t>
      </w:r>
    </w:p>
    <w:p>
      <w:pPr>
        <w:keepNext/>
        <w:keepLines/>
        <w:bidi/>
        <w:spacing w:after="110" w:before="180" w:line="360" w:lineRule="auto"/>
        <w:jc w:val="start"/>
      </w:pPr>
      <w:r>
        <w:rPr>
          <w:rFonts w:ascii="David" w:cs="David" w:eastAsia="David" w:hAnsi="David"/>
          <w:b/>
          <w:bCs/>
          <w:i w:val="false"/>
          <w:iCs w:val="false"/>
          <w:sz w:val="24"/>
          <w:szCs w:val="24"/>
          <w:u w:val="single"/>
          <w:rtl/>
        </w:rPr>
        <w:t xml:space="preserve">ה. גובה החיוב</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24.</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התובעת עותרת לסך 36,533.38 ₪, המורכב לפי הכרטסת (נספח 5) מקרן 34,110.37 ₪, הצמדה, ריבית ומע"מ. החיוב החודשי עומד על 2,948.85 ₪, בעוד התובעת עצמה קבעה באותה תקופה כי שכר הדירה הוא 1,456.68 ₪ ברוטו ו-221.19 ₪ נטו.</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25.</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הטוען לדמי שימוש ראויים נדרש להוכיח את שוויים, ולא צורפה חוות דעת, נתון השוואתי או אסמכתה חיצונית כלשהי. הכרטסת אינה ראיה לשווי שוק אלא רישום פנימי, ודי בכך שאותה תקופה נרשמה תחילה כשכר דירה (קוד 101) והומרה בדיעבד לדמי שימוש ראויים (קוד 103). את הריבית וההצמדה גובה התובעת מכוח חוזה השכירות (סעיף 5(ה) לנספח 1), ובה בעת טוענת כי אין בינה לבין הנתבעת יחסים חוזיים.</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26.</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ואשר לעתירה לחיוב עד למועד פסק הדין, בטענה כי נמנע מן התובעת להשכיר את הדירה לזכאי אחר: תביעת סילוק היד הוגשה רק ביוני 2026, בחלוף למעלה משנתיים וארבעה חודשים מן הפטירה, ולאורך כל אותה תקופה הוסיפה התובעת לשלוח שוברים ולגבות תשלומים.</w:t>
      </w:r>
    </w:p>
    <w:p>
      <w:pPr>
        <w:keepNext/>
        <w:keepLines/>
        <w:bidi/>
        <w:spacing w:after="110" w:before="180" w:line="360" w:lineRule="auto"/>
        <w:jc w:val="start"/>
      </w:pPr>
      <w:r>
        <w:rPr>
          <w:rFonts w:ascii="David" w:cs="David" w:eastAsia="David" w:hAnsi="David"/>
          <w:b/>
          <w:bCs/>
          <w:i w:val="false"/>
          <w:iCs w:val="false"/>
          <w:sz w:val="24"/>
          <w:szCs w:val="24"/>
          <w:u w:val="single"/>
          <w:rtl/>
        </w:rPr>
        <w:t xml:space="preserve">ו. התייחסות לסעיפי כתב התביעה</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27.</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הנטען בסעיפים 1, 5, 6, 7, 13, 14 ו-17 אינו מוכחש ככל שהוא נוגע לזהות הצדדים והדירה, לסמכות ולמועד הפטירה, ומבלי לגרוע מטענת פיצול הסעדים.</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28.</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הנטען בסעיפים 2, 8, 9, 15 ו-16 מוכחש. הנתבעת לא פלשה לדירה ואינה מחזיקה בה שלא כדין; היא בתו של הדייר החוזי והתגוררה עמו, כמפורט בפרק א'. לא נשלחו אליה התראות ולא צורפה ולו אחת, והצהרות המנוח בדבר מגורים בגפו נוסחו בידי התובעת ואין בהן כדי לחרוץ את זכותה של בתו.</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29.</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הנטען בסעיפים 3, 4, 10, 11, 12, 18, 19, 21, 22 ו-23 מוכחש, מן הטעמים שבפרקים ב' עד ה'. אשר לסעיף 20, הנתבעת מאמצת את האסמכתאות שהתובעת הביאה: הדיור הציבורי נועד למי שידה אינה משגת לשאת בעלות מגורים בשוק הפרטי, ותכלית זו מכוונת אליה.</w:t>
      </w:r>
    </w:p>
    <w:p>
      <w:pPr>
        <w:keepNext/>
        <w:keepLines/>
        <w:bidi/>
        <w:spacing w:after="110" w:before="180" w:line="360" w:lineRule="auto"/>
        <w:jc w:val="start"/>
      </w:pPr>
      <w:r>
        <w:rPr>
          <w:rFonts w:ascii="David" w:cs="David" w:eastAsia="David" w:hAnsi="David"/>
          <w:b/>
          <w:bCs/>
          <w:i w:val="false"/>
          <w:iCs w:val="false"/>
          <w:sz w:val="24"/>
          <w:szCs w:val="24"/>
          <w:u w:val="single"/>
          <w:rtl/>
        </w:rPr>
        <w:t xml:space="preserve">ז. סעד</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30.</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לאור כל האמור מתבקש בית המשפט הנכבד לדחות את התביעה; לחלופין, למוחקה מחמת פיצול סעדים או להורות על איחוד הדיון עם ת"א 12718-06-26; לחלופין, לקבוע כי לא קמה עילה לדמי שימוש ראויים כל עוד לא נמסרה הודעת משרד הבינוי והשיכון לפי סעיף 3(א) לחוק ולא חלפו תשעה חודשים ממסירתה; ולחלופי חלופין, לפטור את הנתבעת מהשבה לפי סעיף 2 לחוק עשיית עושר ולא במשפט, התשל"ט-1979, או להעמיד את החיוב על דמי השכירות המסובסדים שקבעה התובעת, בניכוי התשלומים ששולמו. כן מתבקש לחייב את התובעת בהוצאות ובשכר טרחת עו"ד.</w:t>
      </w:r>
    </w:p>
    <w:p>
      <w:pPr>
        <w:keepNext/>
        <w:keepLines/>
        <w:bidi/>
        <w:spacing w:after="110" w:before="180" w:line="360" w:lineRule="auto"/>
        <w:jc w:val="start"/>
      </w:pPr>
      <w:r>
        <w:rPr>
          <w:rFonts w:ascii="David" w:cs="David" w:eastAsia="David" w:hAnsi="David"/>
          <w:b/>
          <w:bCs/>
          <w:i w:val="false"/>
          <w:iCs w:val="false"/>
          <w:sz w:val="24"/>
          <w:szCs w:val="24"/>
          <w:u w:val="single"/>
          <w:rtl/>
        </w:rPr>
        <w:t xml:space="preserve">רשימת נספחים</w:t>
      </w:r>
    </w:p>
    <w:p>
      <w:pPr>
        <w:bidi/>
        <w:spacing w:after="120" w:before="0" w:line="360" w:lineRule="auto"/>
        <w:jc w:val="both"/>
      </w:pPr>
      <w:r>
        <w:rPr>
          <w:rFonts w:ascii="David" w:cs="David" w:eastAsia="David" w:hAnsi="David"/>
          <w:b/>
          <w:bCs/>
          <w:i w:val="false"/>
          <w:iCs w:val="false"/>
          <w:sz w:val="24"/>
          <w:szCs w:val="24"/>
          <w:rtl/>
        </w:rPr>
        <w:t xml:space="preserve">נספח א'</w:t>
      </w:r>
      <w:r>
        <w:rPr>
          <w:rFonts w:ascii="David" w:cs="David" w:eastAsia="David" w:hAnsi="David"/>
          <w:b w:val="false"/>
          <w:bCs w:val="false"/>
          <w:i w:val="false"/>
          <w:iCs w:val="false"/>
          <w:sz w:val="24"/>
          <w:szCs w:val="24"/>
          <w:rtl/>
        </w:rPr>
        <w:t xml:space="preserve"> - קבלת עמידר 9007915735 מיום 23.7.2024, שכ"ד 02-07/2024, 1,355.71 ₪. </w:t>
      </w:r>
      <w:r>
        <w:rPr>
          <w:rFonts w:ascii="David" w:cs="David" w:eastAsia="David" w:hAnsi="David"/>
          <w:b/>
          <w:bCs/>
          <w:i w:val="false"/>
          <w:iCs w:val="false"/>
          <w:sz w:val="24"/>
          <w:szCs w:val="24"/>
          <w:rtl/>
        </w:rPr>
        <w:t xml:space="preserve">נספח ב'</w:t>
      </w:r>
      <w:r>
        <w:rPr>
          <w:rFonts w:ascii="David" w:cs="David" w:eastAsia="David" w:hAnsi="David"/>
          <w:b w:val="false"/>
          <w:bCs w:val="false"/>
          <w:i w:val="false"/>
          <w:iCs w:val="false"/>
          <w:sz w:val="24"/>
          <w:szCs w:val="24"/>
          <w:rtl/>
        </w:rPr>
        <w:t xml:space="preserve"> - שובר עמידר 9007925756 מיום 17.9.2024, דמי שימוש ראויים, 21,730.81 ₪. </w:t>
      </w:r>
      <w:r>
        <w:rPr>
          <w:rFonts w:ascii="David" w:cs="David" w:eastAsia="David" w:hAnsi="David"/>
          <w:b/>
          <w:bCs/>
          <w:i w:val="false"/>
          <w:iCs w:val="false"/>
          <w:sz w:val="24"/>
          <w:szCs w:val="24"/>
          <w:rtl/>
        </w:rPr>
        <w:t xml:space="preserve">נספח ג'</w:t>
      </w:r>
      <w:r>
        <w:rPr>
          <w:rFonts w:ascii="David" w:cs="David" w:eastAsia="David" w:hAnsi="David"/>
          <w:b w:val="false"/>
          <w:bCs w:val="false"/>
          <w:i w:val="false"/>
          <w:iCs w:val="false"/>
          <w:sz w:val="24"/>
          <w:szCs w:val="24"/>
          <w:rtl/>
        </w:rPr>
        <w:t xml:space="preserve"> - אישור בנק יהב מיום 27.3.2025, תשלום 2,911.01 ₪ לעמידר. </w:t>
      </w:r>
      <w:r>
        <w:rPr>
          <w:rFonts w:ascii="David" w:cs="David" w:eastAsia="David" w:hAnsi="David"/>
          <w:b/>
          <w:bCs/>
          <w:i w:val="false"/>
          <w:iCs w:val="false"/>
          <w:sz w:val="24"/>
          <w:szCs w:val="24"/>
          <w:rtl/>
        </w:rPr>
        <w:t xml:space="preserve">נספח ד'</w:t>
      </w:r>
      <w:r>
        <w:rPr>
          <w:rFonts w:ascii="David" w:cs="David" w:eastAsia="David" w:hAnsi="David"/>
          <w:b w:val="false"/>
          <w:bCs w:val="false"/>
          <w:i w:val="false"/>
          <w:iCs w:val="false"/>
          <w:sz w:val="24"/>
          <w:szCs w:val="24"/>
          <w:rtl/>
        </w:rPr>
        <w:t xml:space="preserve"> - מכתב הנתבעת למשרד השיכון, בחותמת מרכז אלונים מיום 28.6.2013. </w:t>
      </w:r>
      <w:r>
        <w:rPr>
          <w:rFonts w:ascii="David" w:cs="David" w:eastAsia="David" w:hAnsi="David"/>
          <w:b/>
          <w:bCs/>
          <w:i w:val="false"/>
          <w:iCs w:val="false"/>
          <w:sz w:val="24"/>
          <w:szCs w:val="24"/>
          <w:rtl/>
        </w:rPr>
        <w:t xml:space="preserve">נספח ה'</w:t>
      </w:r>
      <w:r>
        <w:rPr>
          <w:rFonts w:ascii="David" w:cs="David" w:eastAsia="David" w:hAnsi="David"/>
          <w:b w:val="false"/>
          <w:bCs w:val="false"/>
          <w:i w:val="false"/>
          <w:iCs w:val="false"/>
          <w:sz w:val="24"/>
          <w:szCs w:val="24"/>
          <w:rtl/>
        </w:rPr>
        <w:t xml:space="preserve"> - בקשת הנתבעת להכרה כדיירת ממשיכה. </w:t>
      </w:r>
      <w:r>
        <w:rPr>
          <w:rFonts w:ascii="David" w:cs="David" w:eastAsia="David" w:hAnsi="David"/>
          <w:b/>
          <w:bCs/>
          <w:i w:val="false"/>
          <w:iCs w:val="false"/>
          <w:sz w:val="24"/>
          <w:szCs w:val="24"/>
          <w:rtl/>
        </w:rPr>
        <w:t xml:space="preserve">נספח ו'</w:t>
      </w:r>
      <w:r>
        <w:rPr>
          <w:rFonts w:ascii="David" w:cs="David" w:eastAsia="David" w:hAnsi="David"/>
          <w:b w:val="false"/>
          <w:bCs w:val="false"/>
          <w:i w:val="false"/>
          <w:iCs w:val="false"/>
          <w:sz w:val="24"/>
          <w:szCs w:val="24"/>
          <w:rtl/>
        </w:rPr>
        <w:t xml:space="preserve"> - ייפוי כוח.</w:t>
      </w:r>
    </w:p>
    <w:p>
      <w:pPr>
        <w:bidi/>
        <w:spacing w:after="0" w:before="40" w:line="360" w:lineRule="auto"/>
        <w:jc w:val="both"/>
      </w:pPr>
    </w:p>
    <w:p>
      <w:pPr>
        <w:keepNext/>
        <w:bidi/>
        <w:spacing w:after="80" w:line="240" w:lineRule="auto"/>
        <w:jc w:val="center"/>
      </w:pPr>
      <w:r>
        <w:rPr>
          <w:rFonts w:ascii="David" w:cs="David" w:eastAsia="David" w:hAnsi="David"/>
          <w:b w:val="false"/>
          <w:bCs w:val="false"/>
          <w:i w:val="false"/>
          <w:iCs w:val="false"/>
          <w:sz w:val="24"/>
          <w:szCs w:val="24"/>
          <w:rtl/>
        </w:rPr>
        <w:t xml:space="preserve">_______________________</w:t>
      </w:r>
    </w:p>
    <w:p>
      <w:pPr>
        <w:bidi/>
        <w:spacing w:after="0" w:line="240" w:lineRule="auto"/>
        <w:jc w:val="center"/>
      </w:pPr>
      <w:r>
        <w:rPr>
          <w:rFonts w:ascii="David" w:cs="David" w:eastAsia="David" w:hAnsi="David"/>
          <w:b/>
          <w:bCs/>
          <w:i w:val="false"/>
          <w:iCs w:val="false"/>
          <w:sz w:val="24"/>
          <w:szCs w:val="24"/>
          <w:highlight w:val="yellow"/>
          <w:highlightCs w:val="yellow"/>
          <w:rtl/>
        </w:rPr>
        <w:t xml:space="preserve">[שם עורך/ת הדין]</w:t>
      </w:r>
      <w:r>
        <w:rPr>
          <w:rFonts w:ascii="David" w:cs="David" w:eastAsia="David" w:hAnsi="David"/>
          <w:b/>
          <w:bCs/>
          <w:i w:val="false"/>
          <w:iCs w:val="false"/>
          <w:sz w:val="24"/>
          <w:szCs w:val="24"/>
          <w:rtl/>
        </w:rPr>
        <w:t xml:space="preserve">, עו"ד, מ.ר. ________, ב"כ הנתבעת</w:t>
      </w:r>
    </w:p>
    <w:p>
      <w:pPr>
        <w:keepNext/>
        <w:keepLines/>
        <w:pageBreakBefore/>
        <w:bidi/>
        <w:spacing w:after="320" w:before="340" w:line="360" w:lineRule="auto"/>
        <w:jc w:val="center"/>
      </w:pPr>
      <w:r>
        <w:rPr>
          <w:rFonts w:ascii="David" w:cs="David" w:eastAsia="David" w:hAnsi="David"/>
          <w:b/>
          <w:bCs/>
          <w:i w:val="false"/>
          <w:iCs w:val="false"/>
          <w:sz w:val="32"/>
          <w:szCs w:val="32"/>
          <w:u w:val="single"/>
          <w:rtl/>
        </w:rPr>
        <w:t xml:space="preserve">תצהיר מטעם הנתבעת ורשימת מסמכים</w:t>
      </w:r>
    </w:p>
    <w:p>
      <w:pPr>
        <w:keepNext/>
        <w:bidi/>
        <w:spacing w:after="220" w:line="300" w:lineRule="auto"/>
        <w:jc w:val="center"/>
      </w:pPr>
      <w:r>
        <w:rPr>
          <w:rFonts w:ascii="David" w:cs="David" w:eastAsia="David" w:hAnsi="David"/>
          <w:b w:val="false"/>
          <w:bCs w:val="false"/>
          <w:i w:val="false"/>
          <w:iCs w:val="false"/>
          <w:sz w:val="22"/>
          <w:szCs w:val="22"/>
          <w:rtl/>
        </w:rPr>
        <w:t xml:space="preserve">בבית משפט השלום בפתח תקווה, ת"א ______ | עמידר, החברה הלאומית לשיכון בישראל בע"מ (התובעת) נגד טדילה וונדימאג'ן (הנתבעת) | תצהיר ערוך לפי טופס 5 שבתוספת הראשונה לתקנות סדר הדין האזרחי, התשע"ט-2018.</w:t>
      </w:r>
    </w:p>
    <w:p>
      <w:pPr>
        <w:bidi/>
        <w:spacing w:after="200" w:before="0" w:line="360" w:lineRule="auto"/>
        <w:jc w:val="both"/>
      </w:pPr>
      <w:r>
        <w:rPr>
          <w:rFonts w:ascii="David" w:cs="David" w:eastAsia="David" w:hAnsi="David"/>
          <w:b w:val="false"/>
          <w:bCs w:val="false"/>
          <w:i w:val="false"/>
          <w:iCs w:val="false"/>
          <w:sz w:val="24"/>
          <w:szCs w:val="24"/>
          <w:rtl/>
        </w:rPr>
        <w:t xml:space="preserve">אני החתומה מטה, טדילה וונדימאג'ן, ת.ז. 303214373, מרח' צה"ל 72/6 פתח תקווה, לאחר שהוזהרתי כי עליי לומר את האמת וכי אהיה צפויה לעונשים הקבועים בחוק אם לא אעשה כן, מצהירה בזאת כדלקמן:</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הריני עושה תצהירי זה כתצהיר תומך לכתב ההגנה מטעמי בתובענה שבכותרת, לפי תקנה 79(א)(1) לתקנות.</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העובדות המפורטות בכתב ההגנה, להבדיל מן הטענות המשפטיות ומן המסקנות שבו, נכונות וידועות לי מידיעתי האישית; והעובדות הנוגעות למסמכי התובעת ידועות לי מתוך המסמכים עצמם, המצורפים לכתב התביעה.</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התגוררתי עם אבי המנוח, מר מנבר וונדימאג'ן ז"ל, ת.ז. 303214381, בדירה ברח' צה"ל 72/6 בפתח תקווה, החל מיום __________ ועד לפטירתו ביום 16.2.2024, ובשנותיו האחרונות טיפלתי בו.</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4.</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לא נמסרה לי מעולם הודעה מאת משרד הבינוי והשיכון בדבר אי-זכאותי לדירה ציבורית, ואף לא הודעה כלשהי על החלטת ועדה בענייני.</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5.</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רשימת המסמכים הנוגעים לעניין הנדון, המצויים או שהיו מצויים ברשותי או בשליטתי ואשר איתרתי לאחר חקירה ודרישה, היא נספחים א' עד ה' כמפורט ברשימת הנספחים שבכתב ההגנה.</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6.</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זהו שמי, זו חתימתי ותוכן תצהירי אמת.</w:t>
      </w:r>
    </w:p>
    <w:p>
      <w:pPr>
        <w:bidi/>
        <w:spacing w:after="0" w:before="40" w:line="360" w:lineRule="auto"/>
        <w:jc w:val="both"/>
      </w:pPr>
    </w:p>
    <w:p>
      <w:pPr>
        <w:keepNext/>
        <w:bidi/>
        <w:spacing w:after="80" w:line="240" w:lineRule="auto"/>
        <w:jc w:val="center"/>
      </w:pPr>
      <w:r>
        <w:rPr>
          <w:rFonts w:ascii="David" w:cs="David" w:eastAsia="David" w:hAnsi="David"/>
          <w:b w:val="false"/>
          <w:bCs w:val="false"/>
          <w:i w:val="false"/>
          <w:iCs w:val="false"/>
          <w:sz w:val="24"/>
          <w:szCs w:val="24"/>
          <w:rtl/>
        </w:rPr>
        <w:t xml:space="preserve">_______________________</w:t>
      </w:r>
    </w:p>
    <w:p>
      <w:pPr>
        <w:bidi/>
        <w:spacing w:after="240" w:line="240" w:lineRule="auto"/>
        <w:jc w:val="center"/>
      </w:pPr>
      <w:r>
        <w:rPr>
          <w:rFonts w:ascii="David" w:cs="David" w:eastAsia="David" w:hAnsi="David"/>
          <w:b/>
          <w:bCs/>
          <w:i w:val="false"/>
          <w:iCs w:val="false"/>
          <w:sz w:val="24"/>
          <w:szCs w:val="24"/>
          <w:rtl/>
        </w:rPr>
        <w:t xml:space="preserve">טדילה וונדימאג'ן</w:t>
      </w:r>
    </w:p>
    <w:p>
      <w:pPr>
        <w:bidi/>
        <w:spacing w:after="140" w:before="240"/>
        <w:jc w:val="center"/>
      </w:pPr>
      <w:r>
        <w:rPr>
          <w:rFonts w:ascii="David" w:cs="David" w:eastAsia="David" w:hAnsi="David"/>
          <w:b/>
          <w:bCs/>
          <w:i w:val="false"/>
          <w:iCs w:val="false"/>
          <w:sz w:val="24"/>
          <w:szCs w:val="24"/>
          <w:u w:val="single"/>
          <w:rtl/>
        </w:rPr>
        <w:t xml:space="preserve">א י ש ו ר</w:t>
      </w:r>
    </w:p>
    <w:p>
      <w:pPr>
        <w:bidi/>
        <w:spacing w:after="120" w:before="0" w:line="360" w:lineRule="auto"/>
        <w:jc w:val="both"/>
      </w:pPr>
      <w:r>
        <w:rPr>
          <w:rFonts w:ascii="David" w:cs="David" w:eastAsia="David" w:hAnsi="David"/>
          <w:b w:val="false"/>
          <w:bCs w:val="false"/>
          <w:i w:val="false"/>
          <w:iCs w:val="false"/>
          <w:sz w:val="24"/>
          <w:szCs w:val="24"/>
          <w:rtl/>
        </w:rPr>
        <w:t xml:space="preserve">הריני לאשר כי ביום __________ הופיעה בפניי, במשרדי ברח' ____________________, גב' טדילה וונדימאג'ן, שזיהיתיה לפי תעודת זהות מספר 303214373, ולאחר שהזהרתיה כי עליה לומר את האמת ואת האמת בלבד, וכי תהיה צפויה לעונשים הקבועים בחוק אם לא תעשה כן, אישרה את נכונות הצהרתה דלעיל וחתמה עליה בפניי.</w:t>
      </w:r>
    </w:p>
    <w:p>
      <w:pPr>
        <w:bidi/>
        <w:spacing w:after="0" w:before="40" w:line="360" w:lineRule="auto"/>
        <w:jc w:val="both"/>
      </w:pPr>
    </w:p>
    <w:p>
      <w:pPr>
        <w:keepNext/>
        <w:bidi/>
        <w:spacing w:after="80" w:line="240" w:lineRule="auto"/>
        <w:jc w:val="center"/>
      </w:pPr>
      <w:r>
        <w:rPr>
          <w:rFonts w:ascii="David" w:cs="David" w:eastAsia="David" w:hAnsi="David"/>
          <w:b w:val="false"/>
          <w:bCs w:val="false"/>
          <w:i w:val="false"/>
          <w:iCs w:val="false"/>
          <w:sz w:val="24"/>
          <w:szCs w:val="24"/>
          <w:rtl/>
        </w:rPr>
        <w:t xml:space="preserve">_______________________</w:t>
      </w:r>
    </w:p>
    <w:p>
      <w:pPr>
        <w:bidi/>
        <w:spacing w:after="0" w:line="240" w:lineRule="auto"/>
        <w:jc w:val="center"/>
      </w:pPr>
      <w:r>
        <w:rPr>
          <w:rFonts w:ascii="David" w:cs="David" w:eastAsia="David" w:hAnsi="David"/>
          <w:b/>
          <w:bCs/>
          <w:i w:val="false"/>
          <w:iCs w:val="false"/>
          <w:sz w:val="24"/>
          <w:szCs w:val="24"/>
          <w:highlight w:val="yellow"/>
          <w:highlightCs w:val="yellow"/>
          <w:rtl/>
        </w:rPr>
        <w:t xml:space="preserve">[שם עורך/ת הדין]</w:t>
      </w:r>
      <w:r>
        <w:rPr>
          <w:rFonts w:ascii="David" w:cs="David" w:eastAsia="David" w:hAnsi="David"/>
          <w:b/>
          <w:bCs/>
          <w:i w:val="false"/>
          <w:iCs w:val="false"/>
          <w:sz w:val="24"/>
          <w:szCs w:val="24"/>
          <w:rtl/>
        </w:rPr>
        <w:t xml:space="preserve">, עו"ד, מ.ר. ________</w:t>
      </w:r>
    </w:p>
    <w:p>
      <w:pPr>
        <w:keepNext/>
        <w:keepLines/>
        <w:pageBreakBefore/>
        <w:bidi/>
        <w:spacing w:after="320" w:before="340" w:line="360" w:lineRule="auto"/>
        <w:jc w:val="center"/>
      </w:pPr>
      <w:r>
        <w:rPr>
          <w:rFonts w:ascii="David" w:cs="David" w:eastAsia="David" w:hAnsi="David"/>
          <w:b/>
          <w:bCs/>
          <w:i w:val="false"/>
          <w:iCs w:val="false"/>
          <w:sz w:val="32"/>
          <w:szCs w:val="32"/>
          <w:u w:val="single"/>
          <w:rtl/>
        </w:rPr>
        <w:t xml:space="preserve">הערות להשלמה - למחיקה לפני ההגשה</w:t>
      </w:r>
    </w:p>
    <w:p>
      <w:pPr>
        <w:bidi/>
        <w:spacing w:after="200" w:before="0" w:line="360" w:lineRule="auto"/>
        <w:jc w:val="both"/>
      </w:pPr>
      <w:r>
        <w:rPr>
          <w:rFonts w:ascii="David" w:cs="David" w:eastAsia="David" w:hAnsi="David"/>
          <w:b w:val="false"/>
          <w:bCs w:val="false"/>
          <w:i w:val="false"/>
          <w:iCs w:val="false"/>
          <w:sz w:val="24"/>
          <w:szCs w:val="24"/>
          <w:rtl/>
        </w:rPr>
        <w:t xml:space="preserve">דף זה אינו חלק מכתב ההגנה. יש למחוק אותו, ואת ההערות המודגשות בגוף המסמך, לפני ההגשה.</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מספר התיק בכותרת; שם עורך הדין, מספר רישיון, מען ופרטי התקשרות.</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מועד המצאת כתב התביעה. המועד להגשת כתב הגנה במסלול דיון מהיר הוא 45 ימים ממועד ההמצאה (תקנה 80(א)), ולא 60 ימים כנקוב בהזמנה לדין שבכתב התביעה. אם המועד חלף, יש להגיש בקשה להארכת מועד במקביל.</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תקופת המגורים המשותפים בדירה: מועד תחילתה ומשכה, בפרק א' לכתב ההגנה ובסעיף 3 לתצהיר. הראיות התומכות: מרשם האוכלוסין, חשבונות ודברי דואר שנשלחו לכתובת הדירה, מסמכים רפואיים מתקופת מחלת האב, ותצהירי שכנים או בני משפחה.</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4.</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לברר מול הלקוחה שתי שאלות שהן קריטיות למסלול המשפטי: (א) האם התגוררה בדירה ביום 1.8.2009, ואם כן האם התגוררה ברציפות ארבע שנים לפחות עד לפטירת האב. אם כן, חלה עליה הוראת המעבר ונוסחו הקודם של סעיף 3, המקנה זכות להמשיך ולהתגורר. (ב) האם היא זכאית באופן עצמאי לדירה ציבורית לפי כללי משרד הבינוי והשיכון. אם כן, חל סעיף 3(ב) והיא באה בנעלי הזכאי לכל דבר ועניין. יש לתקן את פרק א' ואת התצהיר בהתאם לתשובות.</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5.</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לאמת לפני ההגשה את נוסחם המדויק של סעיף 3 לחוק ושל הוראת המעבר בחוק ההתייעלות הכלכלית (תיקוני חקיקה ליישום התכנית הכלכלית לשנים 2009 ו-2010), התשס"ט-2009, ולשקול לצרף אסמכתה מן הפסיקה העדכנית בסוגיית תנאי הוראת המעבר (ר' רע"א 1705/24 פרזות נ' אוחיון, שלא אומת כאן).</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6.</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זהות הבת שנכחה בביקור מיום 3.7.2024. השם שנרשם בטופס התובעת אינו תואם במדויק את שם הנתבעת. יש לברר אם מדובר בנתבעת ששמה נרשם בשגגה או באחותה, ולהוסיף משפט מבהיר בפרק ב'.</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7.</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מכתב המלצה נפרד מגורם הרווחה, אם קיים: לצרפו כנספח ד'1, לציין שם ותפקיד עובד הרווחה ותאריך, ולהוסיף בפרק ד': "גורם הרווחה אף צירף את המלצתו כי יש להעניק לנתבעת פתרון דיור."</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8.</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צירוף ייפוי כוח (נספח ו') ובקשת ההכרה כדיירת ממשיכה (נספח ה'). אם הבקשה אינה מצויה בידי הנתבעת, יש לפרט בתצהיר את הנסיבות (תקנה 79(א)(2) סיפא).</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9.</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קבלות ואישורי תשלום נוספים, תכתובות מול עמידר ומסמכי רווחה שבידי הנתבעת: להוסיף לרשימת הנספחים ולתצהיר.</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10.</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להחליט על הגשת תביעה שכנגד להשבת הכספים שנגבו. תביעה שכנגד מוגשת יחד עם כתב ההגנה (תקנות 21(א) ו-80(ח)).</w:t>
      </w:r>
    </w:p>
    <w:p>
      <w:pPr>
        <w:tabs>
          <w:tab w:val="start" w:pos="480"/>
        </w:tabs>
        <w:bidi/>
        <w:spacing w:after="90" w:line="360" w:lineRule="auto"/>
        <w:ind w:start="480" w:hanging="480"/>
        <w:jc w:val="both"/>
      </w:pPr>
      <w:r>
        <w:rPr>
          <w:rFonts w:ascii="David" w:cs="David" w:eastAsia="David" w:hAnsi="David"/>
          <w:b w:val="false"/>
          <w:bCs w:val="false"/>
          <w:i w:val="false"/>
          <w:iCs w:val="false"/>
          <w:sz w:val="24"/>
          <w:szCs w:val="24"/>
          <w:rtl/>
        </w:rPr>
        <w:t xml:space="preserve">11.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לשקול הגשת בקשה נפרדת לאיחוד הדיון עם ת"א 12718-06-26.</w:t>
      </w:r>
    </w:p>
    <w:sectPr>
      <w:footerReference w:type="default" r:id="rId7"/>
      <w:pgSz w:w="11906" w:h="16838" w:orient="portrait"/>
      <w:pgMar w:top="850" w:right="1417" w:bottom="646" w:left="1417" w:header="340" w:footer="340" w:gutter="0"/>
      <w:bidi/>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0"/>
        <w:szCs w:val="20"/>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bidi/>
        <w:ind w:start="720" w:hanging="360"/>
      </w:pPr>
    </w:lvl>
    <w:lvl w:ilvl="1" w15:tentative="1">
      <w:start w:val="1"/>
      <w:numFmt w:val="bullet"/>
      <w:lvlText w:val="○"/>
      <w:lvlJc w:val="left"/>
      <w:pPr>
        <w:bidi/>
        <w:ind w:start="1440" w:hanging="360"/>
      </w:pPr>
    </w:lvl>
    <w:lvl w:ilvl="2" w15:tentative="1">
      <w:start w:val="1"/>
      <w:numFmt w:val="bullet"/>
      <w:lvlText w:val="■"/>
      <w:lvlJc w:val="left"/>
      <w:pPr>
        <w:bidi/>
        <w:ind w:start="2160" w:hanging="360"/>
      </w:pPr>
    </w:lvl>
    <w:lvl w:ilvl="3" w15:tentative="1">
      <w:start w:val="1"/>
      <w:numFmt w:val="bullet"/>
      <w:lvlText w:val="●"/>
      <w:lvlJc w:val="left"/>
      <w:pPr>
        <w:bidi/>
        <w:ind w:start="2880" w:hanging="360"/>
      </w:pPr>
    </w:lvl>
    <w:lvl w:ilvl="4" w15:tentative="1">
      <w:start w:val="1"/>
      <w:numFmt w:val="bullet"/>
      <w:lvlText w:val="○"/>
      <w:lvlJc w:val="left"/>
      <w:pPr>
        <w:bidi/>
        <w:ind w:start="3600" w:hanging="360"/>
      </w:pPr>
    </w:lvl>
    <w:lvl w:ilvl="5" w15:tentative="1">
      <w:start w:val="1"/>
      <w:numFmt w:val="bullet"/>
      <w:lvlText w:val="■"/>
      <w:lvlJc w:val="left"/>
      <w:pPr>
        <w:bidi/>
        <w:ind w:start="4320" w:hanging="360"/>
      </w:pPr>
    </w:lvl>
    <w:lvl w:ilvl="6" w15:tentative="1">
      <w:start w:val="1"/>
      <w:numFmt w:val="bullet"/>
      <w:lvlText w:val="●"/>
      <w:lvlJc w:val="left"/>
      <w:pPr>
        <w:bidi/>
        <w:ind w:start="5040" w:hanging="360"/>
      </w:pPr>
    </w:lvl>
    <w:lvl w:ilvl="7" w15:tentative="1">
      <w:start w:val="1"/>
      <w:numFmt w:val="bullet"/>
      <w:lvlText w:val="●"/>
      <w:lvlJc w:val="left"/>
      <w:pPr>
        <w:bidi/>
        <w:ind w:start="5760" w:hanging="360"/>
      </w:pPr>
    </w:lvl>
    <w:lvl w:ilvl="8" w15:tentative="1">
      <w:start w:val="1"/>
      <w:numFmt w:val="bullet"/>
      <w:lvlText w:val="●"/>
      <w:lvlJc w:val="left"/>
      <w:pPr>
        <w:bidi/>
        <w:ind w:star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2026-09-01T13:40:41.974Z</dcterms:created>
  <dcterms:modified xsi:type="dcterms:W3CDTF">2026-09-01T13:40:41.974Z</dcterms:modified>
</cp:coreProperties>
</file>

<file path=docProps/custom.xml><?xml version="1.0" encoding="utf-8"?>
<Properties xmlns="http://schemas.openxmlformats.org/officeDocument/2006/custom-properties" xmlns:vt="http://schemas.openxmlformats.org/officeDocument/2006/docPropsVTypes"/>
</file>