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bidi w:val="1"/>
        <w:spacing w:line="240" w:lineRule="auto" w:before="0" w:after="120"/>
        <w:jc w:val="center"/>
      </w:pPr>
      <w:r>
        <w:rPr>
          <w:rFonts w:ascii="David" w:hAnsi="David" w:cs="David"/>
          <w:b/>
          <w:sz w:val="32"/>
          <w:u w:val="single"/>
          <w:szCs w:val="32"/>
          <w:rtl w:val="1"/>
          <w:bCs w:val="1"/>
        </w:rPr>
        <w:t>כתב הגנה</w:t>
      </w:r>
    </w:p>
    <w:p>
      <w:pPr>
        <w:keepNext w:val="0"/>
        <w:bidi w:val="1"/>
        <w:spacing w:line="360" w:lineRule="auto" w:before="0" w:after="40"/>
        <w:jc w:val="both"/>
      </w:pPr>
      <w:r>
        <w:rPr>
          <w:rFonts w:ascii="David" w:hAnsi="David" w:cs="David"/>
          <w:b w:val="0"/>
          <w:sz w:val="24"/>
          <w:u w:val="none"/>
          <w:szCs w:val="24"/>
          <w:rtl w:val="1"/>
        </w:rPr>
        <w:t>הנתבעת מתכבדת להגיש את כתב הגנתה בתשובה לתביעת התובע לקביעת אחריות הורית משותפת (משמורת משותפת) וזמני שהות שוויוניים. כל הנטען בכתב התביעה מוכחש, למעט אם צוין במפורש אחרת.</w:t>
      </w:r>
    </w:p>
    <w:p>
      <w:pPr>
        <w:keepNext/>
        <w:bidi w:val="1"/>
        <w:spacing w:line="240" w:lineRule="auto" w:before="160" w:after="40"/>
        <w:jc w:val="right"/>
      </w:pPr>
      <w:r>
        <w:rPr>
          <w:rFonts w:ascii="David" w:hAnsi="David" w:cs="David"/>
          <w:b/>
          <w:sz w:val="24"/>
          <w:u w:val="single"/>
          <w:szCs w:val="24"/>
          <w:rtl w:val="1"/>
          <w:bCs w:val="1"/>
        </w:rPr>
        <w:t>פתח דבר</w:t>
      </w:r>
    </w:p>
    <w:p>
      <w:pPr>
        <w:bidi w:val="1"/>
        <w:spacing w:line="360" w:lineRule="auto" w:before="0" w:after="0"/>
        <w:ind w:left="510" w:hanging="510"/>
        <w:jc w:val="both"/>
        <w:tabs>
          <w:tab w:val="left" w:pos="510"/>
        </w:tabs>
      </w:pPr>
      <w:r>
        <w:rPr>
          <w:rFonts w:ascii="David" w:hAnsi="David" w:cs="David"/>
          <w:b w:val="0"/>
          <w:sz w:val="24"/>
          <w:u w:val="none"/>
          <w:szCs w:val="24"/>
          <w:rtl w:val="1"/>
        </w:rPr>
        <w:t>1.</w:t>
        <w:tab/>
        <w:t>אין המחלוקת דנא נסבה על עצם הקשר בין הקטינים לאביהם. הנתבעת אינה מתנגדת לקשר רציף ומשמעותי בין הקטינים לתובע, ואף רואה בו ערך.</w:t>
      </w:r>
    </w:p>
    <w:p>
      <w:pPr>
        <w:bidi w:val="1"/>
        <w:spacing w:line="360" w:lineRule="auto" w:before="0" w:after="0"/>
        <w:ind w:left="510" w:hanging="510"/>
        <w:jc w:val="both"/>
        <w:tabs>
          <w:tab w:val="left" w:pos="510"/>
        </w:tabs>
      </w:pPr>
      <w:r>
        <w:rPr>
          <w:rFonts w:ascii="David" w:hAnsi="David" w:cs="David"/>
          <w:b w:val="0"/>
          <w:sz w:val="24"/>
          <w:u w:val="none"/>
          <w:szCs w:val="24"/>
          <w:rtl w:val="1"/>
        </w:rPr>
        <w:t>2.</w:t>
        <w:tab/>
        <w:t>ודוק; המחלוקת נסבה על דבר אחד בלבד — התובע אינו ערוך ואינו מסוגל, נכון להיום, לשאת בחובות היום-יומיות הכרוכות בגידול הקטינים ובטיפול השוטף בהם.</w:t>
      </w:r>
    </w:p>
    <w:p>
      <w:pPr>
        <w:bidi w:val="1"/>
        <w:spacing w:line="360" w:lineRule="auto" w:before="0" w:after="0"/>
        <w:ind w:left="510" w:hanging="510"/>
        <w:jc w:val="both"/>
        <w:tabs>
          <w:tab w:val="left" w:pos="510"/>
        </w:tabs>
      </w:pPr>
      <w:r>
        <w:rPr>
          <w:rFonts w:ascii="David" w:hAnsi="David" w:cs="David"/>
          <w:b w:val="0"/>
          <w:sz w:val="24"/>
          <w:u w:val="none"/>
          <w:szCs w:val="24"/>
          <w:rtl w:val="1"/>
        </w:rPr>
        <w:t>3.</w:t>
        <w:tab/>
        <w:t>כתב התביעה דנא מתאר אב שאינו קיים במציאות. הנטען בסעיפים 2 ו-6 עד 13 מוכחש מכל וכל, ואינו משקף את חלוקת התפקידים ההורית שנהגה בפועל בין הצדדים לאורך השנים.</w:t>
      </w:r>
    </w:p>
    <w:p>
      <w:pPr>
        <w:keepNext/>
        <w:bidi w:val="1"/>
        <w:spacing w:line="240" w:lineRule="auto" w:before="160" w:after="40"/>
        <w:jc w:val="right"/>
      </w:pPr>
      <w:r>
        <w:rPr>
          <w:rFonts w:ascii="David" w:hAnsi="David" w:cs="David"/>
          <w:b/>
          <w:sz w:val="24"/>
          <w:u w:val="single"/>
          <w:szCs w:val="24"/>
          <w:rtl w:val="1"/>
          <w:bCs w:val="1"/>
        </w:rPr>
        <w:t>המצב לאמיתו — הכחשת המעורבות היום-יומית</w:t>
      </w:r>
    </w:p>
    <w:p>
      <w:pPr>
        <w:bidi w:val="1"/>
        <w:spacing w:line="360" w:lineRule="auto" w:before="0" w:after="0"/>
        <w:ind w:left="510" w:hanging="510"/>
        <w:jc w:val="both"/>
        <w:tabs>
          <w:tab w:val="left" w:pos="510"/>
        </w:tabs>
      </w:pPr>
      <w:r>
        <w:rPr>
          <w:rFonts w:ascii="David" w:hAnsi="David" w:cs="David"/>
          <w:b w:val="0"/>
          <w:sz w:val="24"/>
          <w:u w:val="none"/>
          <w:szCs w:val="24"/>
          <w:rtl w:val="1"/>
        </w:rPr>
        <w:t>4.</w:t>
        <w:tab/>
        <w:t>התובע אינו מכיר את שגרת חייהם והרגליהם היום-יומיים של הקטינים.</w:t>
      </w:r>
    </w:p>
    <w:p>
      <w:pPr>
        <w:bidi w:val="1"/>
        <w:spacing w:line="360" w:lineRule="auto" w:before="0" w:after="0"/>
        <w:ind w:left="510" w:hanging="510"/>
        <w:jc w:val="both"/>
        <w:tabs>
          <w:tab w:val="left" w:pos="510"/>
        </w:tabs>
      </w:pPr>
      <w:r>
        <w:rPr>
          <w:rFonts w:ascii="David" w:hAnsi="David" w:cs="David"/>
          <w:b w:val="0"/>
          <w:sz w:val="24"/>
          <w:u w:val="none"/>
          <w:szCs w:val="24"/>
          <w:rtl w:val="1"/>
        </w:rPr>
        <w:t>5.</w:t>
        <w:tab/>
        <w:t>אינו יודע מהם מאכליהם האהובים ומה אינו ערב לחכם, ואינו בקיא בהעדפותיהם ובצורכיהם.</w:t>
      </w:r>
    </w:p>
    <w:p>
      <w:pPr>
        <w:bidi w:val="1"/>
        <w:spacing w:line="360" w:lineRule="auto" w:before="0" w:after="0"/>
        <w:ind w:left="510" w:hanging="510"/>
        <w:jc w:val="both"/>
        <w:tabs>
          <w:tab w:val="left" w:pos="510"/>
        </w:tabs>
      </w:pPr>
      <w:r>
        <w:rPr>
          <w:rFonts w:ascii="David" w:hAnsi="David" w:cs="David"/>
          <w:b w:val="0"/>
          <w:sz w:val="24"/>
          <w:u w:val="none"/>
          <w:szCs w:val="24"/>
          <w:rtl w:val="1"/>
        </w:rPr>
        <w:t>6.</w:t>
        <w:tab/>
        <w:t>אינו פוקד את מוסדות החינוך של הקטינים ואינו מעורב בנעשה בהם; המורים, המחנכים והצוות החינוכי אינם מכירים אותו כלל.</w:t>
      </w:r>
    </w:p>
    <w:p>
      <w:pPr>
        <w:bidi w:val="1"/>
        <w:spacing w:line="360" w:lineRule="auto" w:before="0" w:after="0"/>
        <w:ind w:left="510" w:hanging="510"/>
        <w:jc w:val="both"/>
        <w:tabs>
          <w:tab w:val="left" w:pos="510"/>
        </w:tabs>
      </w:pPr>
      <w:r>
        <w:rPr>
          <w:rFonts w:ascii="David" w:hAnsi="David" w:cs="David"/>
          <w:b w:val="0"/>
          <w:sz w:val="24"/>
          <w:u w:val="none"/>
          <w:szCs w:val="24"/>
          <w:rtl w:val="1"/>
        </w:rPr>
        <w:t>7.</w:t>
        <w:tab/>
        <w:t>אינו יודע כיצד להכין מזון לקטינים. במהלך כל שנות המגורים המשותפים לא נכנס למטבח ולא הכין ולו ארוחה אחת עבורם — אף לא ביצה מטוגנת.</w:t>
      </w:r>
    </w:p>
    <w:p>
      <w:pPr>
        <w:bidi w:val="1"/>
        <w:spacing w:line="360" w:lineRule="auto" w:before="0" w:after="0"/>
        <w:ind w:left="510" w:hanging="510"/>
        <w:jc w:val="both"/>
        <w:tabs>
          <w:tab w:val="left" w:pos="510"/>
        </w:tabs>
      </w:pPr>
      <w:r>
        <w:rPr>
          <w:rFonts w:ascii="David" w:hAnsi="David" w:cs="David"/>
          <w:b w:val="0"/>
          <w:sz w:val="24"/>
          <w:u w:val="none"/>
          <w:szCs w:val="24"/>
          <w:rtl w:val="1"/>
        </w:rPr>
        <w:t>8.</w:t>
        <w:tab/>
        <w:t>אינו נוטל חלק בעבודות הבית: אינו מבצע כביסות, אינו שוטף כלים, ואינו אחראי על הקניות המרוכזות.</w:t>
      </w:r>
    </w:p>
    <w:p>
      <w:pPr>
        <w:bidi w:val="1"/>
        <w:spacing w:line="360" w:lineRule="auto" w:before="0" w:after="0"/>
        <w:ind w:left="510" w:hanging="510"/>
        <w:jc w:val="both"/>
        <w:tabs>
          <w:tab w:val="left" w:pos="510"/>
        </w:tabs>
      </w:pPr>
      <w:r>
        <w:rPr>
          <w:rFonts w:ascii="David" w:hAnsi="David" w:cs="David"/>
          <w:b w:val="0"/>
          <w:sz w:val="24"/>
          <w:u w:val="none"/>
          <w:szCs w:val="24"/>
          <w:rtl w:val="1"/>
        </w:rPr>
        <w:t>9.</w:t>
        <w:tab/>
        <w:t>רק לאחרונה החל לרכוש מוצרים בודדים ומזדמנים במכולת השכונתית (כגון חלב ואשל). אין בכך נשיאה בנטל הטיפול היום-יומי, ואף לא קרוב לכך.</w:t>
      </w:r>
    </w:p>
    <w:p>
      <w:pPr>
        <w:bidi w:val="1"/>
        <w:spacing w:line="360" w:lineRule="auto" w:before="0" w:after="0"/>
        <w:ind w:left="510" w:hanging="510"/>
        <w:jc w:val="both"/>
        <w:tabs>
          <w:tab w:val="left" w:pos="510"/>
        </w:tabs>
      </w:pPr>
      <w:r>
        <w:rPr>
          <w:rFonts w:ascii="David" w:hAnsi="David" w:cs="David"/>
          <w:b w:val="0"/>
          <w:sz w:val="24"/>
          <w:u w:val="none"/>
          <w:szCs w:val="24"/>
          <w:rtl w:val="1"/>
        </w:rPr>
        <w:t>10.</w:t>
        <w:tab/>
        <w:t>משכך מוכחש אף הנטען בסעיפים 8 ו-9 לכתב התביעה: התובע אינו נושא בפועל במרבית הוצאות משק הבית, והנתבעת היא הנושאת בעיקר הנטל הטיפולי והכלכלי היום-יומי.</w:t>
      </w:r>
    </w:p>
    <w:p>
      <w:pPr>
        <w:bidi w:val="1"/>
        <w:spacing w:line="360" w:lineRule="auto" w:before="0" w:after="0"/>
        <w:ind w:left="510" w:hanging="510"/>
        <w:jc w:val="both"/>
        <w:tabs>
          <w:tab w:val="left" w:pos="510"/>
        </w:tabs>
      </w:pPr>
      <w:r>
        <w:rPr>
          <w:rFonts w:ascii="David" w:hAnsi="David" w:cs="David"/>
          <w:b w:val="0"/>
          <w:sz w:val="24"/>
          <w:u w:val="none"/>
          <w:szCs w:val="24"/>
          <w:rtl w:val="1"/>
        </w:rPr>
        <w:t>11.</w:t>
        <w:tab/>
        <w:t>אכן, הצדדים מתגוררים כיום תחת קורת גג אחת (סעיף 5). ברם, מגורים משותפים אינם הורות בפועל, ואין בהם כדי ללמד על מעורבות טיפולית שוויונית מצד התובע.</w:t>
      </w:r>
    </w:p>
    <w:p>
      <w:pPr>
        <w:bidi w:val="1"/>
        <w:spacing w:line="360" w:lineRule="auto" w:before="0" w:after="0"/>
        <w:ind w:left="510" w:hanging="510"/>
        <w:jc w:val="both"/>
        <w:tabs>
          <w:tab w:val="left" w:pos="510"/>
        </w:tabs>
      </w:pPr>
      <w:r>
        <w:rPr>
          <w:rFonts w:ascii="David" w:hAnsi="David" w:cs="David"/>
          <w:b w:val="0"/>
          <w:sz w:val="24"/>
          <w:u w:val="none"/>
          <w:szCs w:val="24"/>
          <w:rtl w:val="1"/>
        </w:rPr>
        <w:t>12.</w:t>
        <w:tab/>
        <w:t>הראיה בעניין זה מוטלת על התובע. טענה בעלמא אינה ראיה.</w:t>
      </w:r>
    </w:p>
    <w:p>
      <w:pPr>
        <w:keepNext/>
        <w:bidi w:val="1"/>
        <w:spacing w:line="240" w:lineRule="auto" w:before="160" w:after="40"/>
        <w:jc w:val="right"/>
      </w:pPr>
      <w:r>
        <w:rPr>
          <w:rFonts w:ascii="David" w:hAnsi="David" w:cs="David"/>
          <w:b/>
          <w:sz w:val="24"/>
          <w:u w:val="single"/>
          <w:szCs w:val="24"/>
          <w:rtl w:val="1"/>
          <w:bCs w:val="1"/>
        </w:rPr>
        <w:t>חשש ממשי לשלום הקטינים — צריכת אלכוהול</w:t>
      </w:r>
    </w:p>
    <w:p>
      <w:pPr>
        <w:bidi w:val="1"/>
        <w:spacing w:line="360" w:lineRule="auto" w:before="0" w:after="0"/>
        <w:ind w:left="510" w:hanging="510"/>
        <w:jc w:val="both"/>
        <w:tabs>
          <w:tab w:val="left" w:pos="510"/>
        </w:tabs>
      </w:pPr>
      <w:r>
        <w:rPr>
          <w:rFonts w:ascii="David" w:hAnsi="David" w:cs="David"/>
          <w:b w:val="0"/>
          <w:sz w:val="24"/>
          <w:u w:val="none"/>
          <w:szCs w:val="24"/>
          <w:rtl w:val="1"/>
        </w:rPr>
        <w:t>13.</w:t>
        <w:tab/>
        <w:t>למעלה מן הדרוש, ומטעמי טובת הקטינים ושלומם, מובא לידיעת בית המשפט הנכבד כי התובע צורך משקאות חריפים מדי יום.</w:t>
      </w:r>
    </w:p>
    <w:p>
      <w:pPr>
        <w:bidi w:val="1"/>
        <w:spacing w:line="360" w:lineRule="auto" w:before="0" w:after="0"/>
        <w:ind w:left="510" w:hanging="510"/>
        <w:jc w:val="both"/>
        <w:tabs>
          <w:tab w:val="left" w:pos="510"/>
        </w:tabs>
      </w:pPr>
      <w:r>
        <w:rPr>
          <w:rFonts w:ascii="David" w:hAnsi="David" w:cs="David"/>
          <w:b w:val="0"/>
          <w:sz w:val="24"/>
          <w:u w:val="none"/>
          <w:szCs w:val="24"/>
          <w:rtl w:val="1"/>
        </w:rPr>
        <w:t>14.</w:t>
        <w:tab/>
        <w:t>מדי לילה מצוי מתחת למיטתו בקבוק משקה חריף, בעיקר ערק, והוא נוהג להסתגר בחדרו ולשתות ללא הפוגה — וכל זאת בבית שבו מתגוררים הקטינים.</w:t>
      </w:r>
    </w:p>
    <w:p>
      <w:pPr>
        <w:bidi w:val="1"/>
        <w:spacing w:line="360" w:lineRule="auto" w:before="0" w:after="0"/>
        <w:ind w:left="510" w:hanging="510"/>
        <w:jc w:val="both"/>
        <w:tabs>
          <w:tab w:val="left" w:pos="510"/>
        </w:tabs>
      </w:pPr>
      <w:r>
        <w:rPr>
          <w:rFonts w:ascii="David" w:hAnsi="David" w:cs="David"/>
          <w:b w:val="0"/>
          <w:sz w:val="24"/>
          <w:u w:val="none"/>
          <w:szCs w:val="24"/>
          <w:rtl w:val="1"/>
        </w:rPr>
        <w:t>15.</w:t>
        <w:tab/>
        <w:t>ודוק; אין הנתבעת מבקשת לקבוע מסמרות בשאלה קלינית. היא מבקשת דבר אחד — כי השאלה תיבדק בידי גורם מקצועי בטרם הכרעה.</w:t>
      </w:r>
    </w:p>
    <w:p>
      <w:pPr>
        <w:bidi w:val="1"/>
        <w:spacing w:line="360" w:lineRule="auto" w:before="0" w:after="0"/>
        <w:ind w:left="510" w:hanging="510"/>
        <w:jc w:val="both"/>
        <w:tabs>
          <w:tab w:val="left" w:pos="510"/>
        </w:tabs>
      </w:pPr>
      <w:r>
        <w:rPr>
          <w:rFonts w:ascii="David" w:hAnsi="David" w:cs="David"/>
          <w:b w:val="0"/>
          <w:sz w:val="24"/>
          <w:u w:val="none"/>
          <w:szCs w:val="24"/>
          <w:rtl w:val="1"/>
        </w:rPr>
        <w:t>16.</w:t>
        <w:tab/>
        <w:t>התנהלות זו מעוררת חשש כבד וממשי ביחס ליכולתו של התובע ליטול אחריות הורית ומשמורת משותפת ולשמור על שלום הקטינים ובטיחותם.</w:t>
      </w:r>
    </w:p>
    <w:p>
      <w:pPr>
        <w:keepNext/>
        <w:bidi w:val="1"/>
        <w:spacing w:line="240" w:lineRule="auto" w:before="160" w:after="40"/>
        <w:jc w:val="right"/>
      </w:pPr>
      <w:r>
        <w:rPr>
          <w:rFonts w:ascii="David" w:hAnsi="David" w:cs="David"/>
          <w:b/>
          <w:sz w:val="24"/>
          <w:u w:val="single"/>
          <w:szCs w:val="24"/>
          <w:rtl w:val="1"/>
          <w:bCs w:val="1"/>
        </w:rPr>
        <w:t>טובת הקטינים והצורך בתסקיר בטרם הכרעה</w:t>
      </w:r>
    </w:p>
    <w:p>
      <w:pPr>
        <w:bidi w:val="1"/>
        <w:spacing w:line="360" w:lineRule="auto" w:before="0" w:after="0"/>
        <w:ind w:left="510" w:hanging="510"/>
        <w:jc w:val="both"/>
        <w:tabs>
          <w:tab w:val="left" w:pos="510"/>
        </w:tabs>
      </w:pPr>
      <w:r>
        <w:rPr>
          <w:rFonts w:ascii="David" w:hAnsi="David" w:cs="David"/>
          <w:b w:val="0"/>
          <w:sz w:val="24"/>
          <w:u w:val="none"/>
          <w:szCs w:val="24"/>
          <w:rtl w:val="1"/>
        </w:rPr>
        <w:t>17.</w:t>
        <w:tab/>
        <w:t>טובת הקטינים היא העיקרון המנחה, וממנה נגזרת כל הכרעה בהליך דנא.</w:t>
      </w:r>
    </w:p>
    <w:p>
      <w:pPr>
        <w:bidi w:val="1"/>
        <w:spacing w:line="360" w:lineRule="auto" w:before="0" w:after="0"/>
        <w:ind w:left="510" w:hanging="510"/>
        <w:jc w:val="both"/>
        <w:tabs>
          <w:tab w:val="left" w:pos="510"/>
        </w:tabs>
      </w:pPr>
      <w:r>
        <w:rPr>
          <w:rFonts w:ascii="David" w:hAnsi="David" w:cs="David"/>
          <w:b w:val="0"/>
          <w:sz w:val="24"/>
          <w:u w:val="none"/>
          <w:szCs w:val="24"/>
          <w:rtl w:val="1"/>
        </w:rPr>
        <w:t>18.</w:t>
        <w:tab/>
        <w:t>אחריות הורית משותפת אינה נקבעת מכוח הצהרות שבכתב התביעה, אלא מכוח מסוגלות הורית מוכחת בפועל.</w:t>
      </w:r>
    </w:p>
    <w:p>
      <w:pPr>
        <w:bidi w:val="1"/>
        <w:spacing w:line="360" w:lineRule="auto" w:before="0" w:after="0"/>
        <w:ind w:left="510" w:hanging="510"/>
        <w:jc w:val="both"/>
        <w:tabs>
          <w:tab w:val="left" w:pos="510"/>
        </w:tabs>
      </w:pPr>
      <w:r>
        <w:rPr>
          <w:rFonts w:ascii="David" w:hAnsi="David" w:cs="David"/>
          <w:b w:val="0"/>
          <w:sz w:val="24"/>
          <w:u w:val="none"/>
          <w:szCs w:val="24"/>
          <w:rtl w:val="1"/>
        </w:rPr>
        <w:t>19.</w:t>
        <w:tab/>
        <w:t>המבחנים המקובלים לקביעת משמורת משותפת — ובראשם מעורבות בפועל בטיפול היום-יומי ומסוגלות הורית — אינם מתקיימים בעניין דנא.</w:t>
      </w:r>
    </w:p>
    <w:p>
      <w:pPr>
        <w:bidi w:val="1"/>
        <w:spacing w:line="360" w:lineRule="auto" w:before="0" w:after="0"/>
        <w:ind w:left="510" w:hanging="510"/>
        <w:jc w:val="both"/>
        <w:tabs>
          <w:tab w:val="left" w:pos="510"/>
        </w:tabs>
      </w:pPr>
      <w:r>
        <w:rPr>
          <w:rFonts w:ascii="David" w:hAnsi="David" w:cs="David"/>
          <w:b w:val="0"/>
          <w:sz w:val="24"/>
          <w:u w:val="none"/>
          <w:szCs w:val="24"/>
          <w:rtl w:val="1"/>
        </w:rPr>
        <w:t>20.</w:t>
        <w:tab/>
        <w:t>יתכבד התובע ויפרט כיצד בכוונתו לקיים הלכה למעשה את זמני השהות המבוקשים — הכנת מזון, הסעות, קשר עם מוסדות החינוך, מענה יום-יומי והיערכות למגורים.</w:t>
      </w:r>
    </w:p>
    <w:p>
      <w:pPr>
        <w:bidi w:val="1"/>
        <w:spacing w:line="360" w:lineRule="auto" w:before="0" w:after="0"/>
        <w:ind w:left="510" w:hanging="510"/>
        <w:jc w:val="both"/>
        <w:tabs>
          <w:tab w:val="left" w:pos="510"/>
        </w:tabs>
      </w:pPr>
      <w:r>
        <w:rPr>
          <w:rFonts w:ascii="David" w:hAnsi="David" w:cs="David"/>
          <w:b w:val="0"/>
          <w:sz w:val="24"/>
          <w:u w:val="none"/>
          <w:szCs w:val="24"/>
          <w:rtl w:val="1"/>
        </w:rPr>
        <w:t>21.</w:t>
        <w:tab/>
        <w:t>מבלי לגרוע מן האמור, אין הנתבעת מבקשת לנתק אלא להסדיר: זמני שהות מדורגים ומבוקרים, ההולכים ומתרחבים ככל שתוכח מסוגלותו של התובע.</w:t>
      </w:r>
    </w:p>
    <w:p>
      <w:pPr>
        <w:bidi w:val="1"/>
        <w:spacing w:line="360" w:lineRule="auto" w:before="0" w:after="0"/>
        <w:ind w:left="510" w:hanging="510"/>
        <w:jc w:val="both"/>
        <w:tabs>
          <w:tab w:val="left" w:pos="510"/>
        </w:tabs>
      </w:pPr>
      <w:r>
        <w:rPr>
          <w:rFonts w:ascii="David" w:hAnsi="David" w:cs="David"/>
          <w:b w:val="0"/>
          <w:sz w:val="24"/>
          <w:u w:val="none"/>
          <w:szCs w:val="24"/>
          <w:rtl w:val="1"/>
        </w:rPr>
        <w:t>22.</w:t>
        <w:tab/>
        <w:t>הנה כי כן, אין כל מניעה לעריכת תסקיר: התובע עצמו הצהיר על נכונותו לשתף פעולה עם גורמי הרווחה ויחידת הסיוע (סעיף 19), ואף עתר להפניית הצדדים לתסקיר (סעיף ד' לסעדים).</w:t>
      </w:r>
    </w:p>
    <w:p>
      <w:pPr>
        <w:bidi w:val="1"/>
        <w:spacing w:line="360" w:lineRule="auto" w:before="0" w:after="0"/>
        <w:ind w:left="510" w:hanging="510"/>
        <w:jc w:val="both"/>
        <w:tabs>
          <w:tab w:val="left" w:pos="510"/>
        </w:tabs>
      </w:pPr>
      <w:r>
        <w:rPr>
          <w:rFonts w:ascii="David" w:hAnsi="David" w:cs="David"/>
          <w:b w:val="0"/>
          <w:sz w:val="24"/>
          <w:u w:val="none"/>
          <w:szCs w:val="24"/>
          <w:rtl w:val="1"/>
        </w:rPr>
        <w:t>23.</w:t>
        <w:tab/>
        <w:t>הנתבעת נכונה לשתף פעולה באופן מלא עם כל גורם מקצועי שימונה.</w:t>
      </w:r>
    </w:p>
    <w:p>
      <w:pPr>
        <w:keepNext/>
        <w:bidi w:val="1"/>
        <w:spacing w:line="240" w:lineRule="auto" w:before="160" w:after="40"/>
        <w:jc w:val="right"/>
      </w:pPr>
      <w:r>
        <w:rPr>
          <w:rFonts w:ascii="David" w:hAnsi="David" w:cs="David"/>
          <w:b/>
          <w:sz w:val="24"/>
          <w:u w:val="single"/>
          <w:szCs w:val="24"/>
          <w:rtl w:val="1"/>
          <w:bCs w:val="1"/>
        </w:rPr>
        <w:t>הסעדים המבוקשים</w:t>
      </w:r>
    </w:p>
    <w:p>
      <w:pPr>
        <w:bidi w:val="1"/>
        <w:spacing w:line="360" w:lineRule="auto" w:before="0" w:after="0"/>
        <w:ind w:left="510" w:hanging="510"/>
        <w:jc w:val="both"/>
        <w:tabs>
          <w:tab w:val="left" w:pos="510"/>
        </w:tabs>
      </w:pPr>
      <w:r>
        <w:rPr>
          <w:rFonts w:ascii="David" w:hAnsi="David" w:cs="David"/>
          <w:b w:val="0"/>
          <w:sz w:val="24"/>
          <w:u w:val="none"/>
          <w:szCs w:val="24"/>
          <w:rtl w:val="1"/>
        </w:rPr>
        <w:t>24.</w:t>
        <w:tab/>
        <w:t>אשר על כל המקובץ לעיל, מתבקש בית המשפט הנכבד להורות:</w:t>
      </w:r>
    </w:p>
    <w:p>
      <w:pPr>
        <w:bidi w:val="1"/>
        <w:spacing w:line="360" w:lineRule="auto" w:before="0" w:after="0"/>
        <w:ind w:left="1020" w:hanging="510"/>
        <w:jc w:val="both"/>
      </w:pPr>
      <w:r>
        <w:rPr>
          <w:rFonts w:ascii="David" w:hAnsi="David" w:cs="David"/>
          <w:b w:val="0"/>
          <w:sz w:val="24"/>
          <w:u w:val="none"/>
          <w:szCs w:val="24"/>
          <w:rtl w:val="1"/>
        </w:rPr>
        <w:t>א.</w:t>
        <w:tab/>
        <w:t>בטרם כל החלטה — על עריכת תסקיר סעד מקיף בידי עו"ס לסדרי דין, לרבות בחינת מסוגלותו ההורית של התובע והרגלי צריכת האלכוהול שלו והשלכותיהם על הקטינים, ושמיעת עמדת הקטינים בהתאם לגילם.</w:t>
      </w:r>
    </w:p>
    <w:p>
      <w:pPr>
        <w:bidi w:val="1"/>
        <w:spacing w:line="360" w:lineRule="auto" w:before="0" w:after="0"/>
        <w:ind w:left="1020" w:hanging="510"/>
        <w:jc w:val="both"/>
      </w:pPr>
      <w:r>
        <w:rPr>
          <w:rFonts w:ascii="David" w:hAnsi="David" w:cs="David"/>
          <w:b w:val="0"/>
          <w:sz w:val="24"/>
          <w:u w:val="none"/>
          <w:szCs w:val="24"/>
          <w:rtl w:val="1"/>
        </w:rPr>
        <w:t>ב.</w:t>
        <w:tab/>
        <w:t>לדחות את התביעה לאחריות הורית משותפת, למשמורת משותפת ולזמני שהות שוויוניים.</w:t>
      </w:r>
    </w:p>
    <w:p>
      <w:pPr>
        <w:bidi w:val="1"/>
        <w:spacing w:line="360" w:lineRule="auto" w:before="0" w:after="0"/>
        <w:ind w:left="1020" w:hanging="510"/>
        <w:jc w:val="both"/>
      </w:pPr>
      <w:r>
        <w:rPr>
          <w:rFonts w:ascii="David" w:hAnsi="David" w:cs="David"/>
          <w:b w:val="0"/>
          <w:sz w:val="24"/>
          <w:u w:val="none"/>
          <w:szCs w:val="24"/>
          <w:rtl w:val="1"/>
        </w:rPr>
        <w:t>ג.</w:t>
        <w:tab/>
        <w:t>לחלופין — לעכב כל הכרעה בתביעה עד לקבלת התסקיר, בדיקת המסוגלות ההורית ועמדת גורמי המקצוע.</w:t>
      </w:r>
    </w:p>
    <w:p>
      <w:pPr>
        <w:bidi w:val="1"/>
        <w:spacing w:line="360" w:lineRule="auto" w:before="0" w:after="0"/>
        <w:ind w:left="1020" w:hanging="510"/>
        <w:jc w:val="both"/>
      </w:pPr>
      <w:r>
        <w:rPr>
          <w:rFonts w:ascii="David" w:hAnsi="David" w:cs="David"/>
          <w:b w:val="0"/>
          <w:sz w:val="24"/>
          <w:u w:val="none"/>
          <w:szCs w:val="24"/>
          <w:rtl w:val="1"/>
        </w:rPr>
        <w:t>ד.</w:t>
        <w:tab/>
        <w:t>לקבוע כי האחריות ההורית והמשמורת על הקטינים ייוותרו בידי הנתבעת, וכי זמני השהות עם התובע ייקבעו באופן מדורג ומבוקר בהתאם להמלצות גורמי המקצוע.</w:t>
      </w:r>
    </w:p>
    <w:p>
      <w:pPr>
        <w:bidi w:val="1"/>
        <w:spacing w:line="360" w:lineRule="auto" w:before="0" w:after="0"/>
        <w:ind w:left="1020" w:hanging="510"/>
        <w:jc w:val="both"/>
      </w:pPr>
      <w:r>
        <w:rPr>
          <w:rFonts w:ascii="David" w:hAnsi="David" w:cs="David"/>
          <w:b w:val="0"/>
          <w:sz w:val="24"/>
          <w:u w:val="none"/>
          <w:szCs w:val="24"/>
          <w:rtl w:val="1"/>
        </w:rPr>
        <w:t>ה.</w:t>
        <w:tab/>
        <w:t>לחייב את התובע בהוצאות ההליך ובשכר טרחת עורך דין.</w:t>
      </w:r>
    </w:p>
    <w:p>
      <w:pPr>
        <w:bidi w:val="1"/>
        <w:spacing w:line="360" w:lineRule="auto" w:before="0" w:after="0"/>
        <w:ind w:left="510" w:hanging="510"/>
        <w:jc w:val="both"/>
        <w:tabs>
          <w:tab w:val="left" w:pos="510"/>
        </w:tabs>
      </w:pPr>
      <w:r>
        <w:rPr>
          <w:rFonts w:ascii="David" w:hAnsi="David" w:cs="David"/>
          <w:b w:val="0"/>
          <w:sz w:val="24"/>
          <w:u w:val="none"/>
          <w:szCs w:val="24"/>
          <w:rtl w:val="1"/>
        </w:rPr>
        <w:t>25.</w:t>
        <w:tab/>
        <w:t>הנתבעת שומרת על מלוא טענותיה וזכויותיה, לרבות להגיש ראיות ותצהירים נוספים ולהשלים טענותיה לאחר קבלת התסקיר.</w:t>
      </w:r>
    </w:p>
    <w:p>
      <w:pPr>
        <w:bidi w:val="1"/>
        <w:spacing w:line="360" w:lineRule="auto" w:before="0" w:after="0"/>
        <w:ind w:left="510" w:hanging="510"/>
        <w:jc w:val="both"/>
        <w:tabs>
          <w:tab w:val="left" w:pos="510"/>
        </w:tabs>
      </w:pPr>
      <w:r>
        <w:rPr>
          <w:rFonts w:ascii="David" w:hAnsi="David" w:cs="David"/>
          <w:b w:val="0"/>
          <w:sz w:val="24"/>
          <w:u w:val="none"/>
          <w:szCs w:val="24"/>
          <w:rtl w:val="1"/>
        </w:rPr>
        <w:t>26.</w:t>
        <w:tab/>
        <w:t>כתב הגנה זה נתמך בתצהיר הנתבעת המצורף לו כחלק בלתי נפרד הימנו.</w:t>
      </w:r>
    </w:p>
    <w:p>
      <w:pPr>
        <w:keepNext w:val="0"/>
        <w:bidi w:val="1"/>
        <w:spacing w:line="240" w:lineRule="auto" w:before="120" w:after="0"/>
        <w:jc w:val="left"/>
      </w:pPr>
      <w:r>
        <w:rPr>
          <w:rFonts w:ascii="David" w:hAnsi="David" w:cs="David"/>
          <w:b w:val="0"/>
          <w:sz w:val="24"/>
          <w:u w:val="none"/>
          <w:szCs w:val="24"/>
          <w:rtl w:val="1"/>
        </w:rPr>
        <w:t>_________________</w:t>
      </w:r>
    </w:p>
    <w:p>
      <w:pPr>
        <w:keepNext w:val="0"/>
        <w:bidi w:val="1"/>
        <w:spacing w:line="240" w:lineRule="auto" w:before="0" w:after="0"/>
        <w:jc w:val="left"/>
      </w:pPr>
      <w:r>
        <w:rPr>
          <w:rFonts w:ascii="David" w:hAnsi="David" w:cs="David"/>
          <w:b w:val="0"/>
          <w:sz w:val="24"/>
          <w:u w:val="none"/>
          <w:szCs w:val="24"/>
          <w:rtl w:val="1"/>
        </w:rPr>
        <w:t>[שם עורך הדין], עו"ד — ב"כ הנתבעת</w:t>
      </w:r>
    </w:p>
    <w:sectPr w:rsidR="00FC693F" w:rsidRPr="0006063C" w:rsidSect="00034616">
      <w:footerReference w:type="default" r:id="rId9"/>
      <w:pgSz w:w="11906" w:h="16838"/>
      <w:pgMar w:top="850" w:right="1417" w:bottom="646" w:left="1417" w:header="720" w:footer="34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spacing w:after="0"/>
      <w:jc w:val="center"/>
    </w:pPr>
    <w:r>
      <w:rPr>
        <w:rFonts w:ascii="David" w:hAnsi="David" w:cs="David"/>
        <w:b w:val="0"/>
        <w:sz w:val="20"/>
        <w:u w:val="none"/>
        <w:szCs w:val="20"/>
        <w:rtl w:val="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avid" w:hAnsi="David" w:cs="Davi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