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before="300" w:line="360" w:lineRule="auto"/>
        <w:jc w:val="center"/>
      </w:pPr>
      <w:r>
        <w:rPr>
          <w:rFonts w:ascii="David" w:cs="David" w:eastAsia="David" w:hAnsi="David"/>
          <w:b/>
          <w:bCs/>
          <w:sz w:val="28"/>
          <w:szCs w:val="28"/>
          <w:u w:val="single"/>
          <w:rtl/>
        </w:rPr>
        <w:t xml:space="preserve">הנחיות מילוי - בקשה לאפוטרופסות יחידה וקבועה</w:t>
      </w:r>
    </w:p>
    <w:p>
      <w:pPr>
        <w:bidi/>
        <w:spacing w:after="240" w:before="0" w:line="360" w:lineRule="auto"/>
        <w:jc w:val="center"/>
      </w:pPr>
      <w:r>
        <w:rPr>
          <w:rFonts w:ascii="David" w:cs="David" w:eastAsia="David" w:hAnsi="David"/>
          <w:sz w:val="24"/>
          <w:szCs w:val="24"/>
          <w:rtl/>
        </w:rPr>
        <w:t xml:space="preserve">מסמך זה נועד לסייע במילוי החבילה. הוא אינו מוגש לבית המשפט - יש למחוק אותו לפני ההגשה.</w:t>
      </w:r>
    </w:p>
    <w:p>
      <w:pPr>
        <w:keepNext/>
        <w:bidi/>
        <w:spacing w:after="120" w:before="240" w:line="360" w:lineRule="auto"/>
        <w:jc w:val="start"/>
      </w:pPr>
      <w:r>
        <w:rPr>
          <w:rFonts w:ascii="David" w:cs="David" w:eastAsia="David" w:hAnsi="David"/>
          <w:b/>
          <w:bCs/>
          <w:sz w:val="24"/>
          <w:szCs w:val="24"/>
          <w:u w:val="single"/>
          <w:rtl/>
        </w:rPr>
        <w:t xml:space="preserve">טבלת משתנים - למלא פעם אחת ולהעתיק לכל המקומות</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600"/>
        <w:gridCol w:w="3236"/>
        <w:gridCol w:w="3236"/>
      </w:tblGrid>
      <w:tr>
        <w:tc>
          <w:tcPr>
            <w:tcW w:type="dxa" w:w="2600"/>
            <w:tcBorders>
              <w:top w:val="single" w:color="808080" w:sz="4"/>
              <w:left w:val="single" w:color="808080" w:sz="4"/>
              <w:bottom w:val="single" w:color="808080" w:sz="4"/>
              <w:right w:val="single" w:color="808080" w:sz="4"/>
            </w:tcBorders>
            <w:shd w:fill="D9D9D9" w:val="clear"/>
            <w:tcMar>
              <w:top w:type="dxa" w:w="60"/>
              <w:left w:type="dxa" w:w="100"/>
              <w:bottom w:type="dxa" w:w="60"/>
              <w:right w:type="dxa" w:w="100"/>
            </w:tcMar>
          </w:tcPr>
          <w:p>
            <w:pPr>
              <w:bidi/>
              <w:spacing w:after="0" w:line="300" w:lineRule="auto"/>
              <w:jc w:val="center"/>
            </w:pPr>
            <w:r>
              <w:rPr>
                <w:rFonts w:ascii="David" w:cs="David" w:eastAsia="David" w:hAnsi="David"/>
                <w:b/>
                <w:bCs/>
                <w:sz w:val="24"/>
                <w:szCs w:val="24"/>
                <w:rtl/>
              </w:rPr>
              <w:t xml:space="preserve">הפרט</w:t>
            </w:r>
          </w:p>
        </w:tc>
        <w:tc>
          <w:tcPr>
            <w:tcW w:type="dxa" w:w="3236"/>
            <w:tcBorders>
              <w:top w:val="single" w:color="808080" w:sz="4"/>
              <w:left w:val="single" w:color="808080" w:sz="4"/>
              <w:bottom w:val="single" w:color="808080" w:sz="4"/>
              <w:right w:val="single" w:color="808080" w:sz="4"/>
            </w:tcBorders>
            <w:shd w:fill="D9D9D9" w:val="clear"/>
            <w:tcMar>
              <w:top w:type="dxa" w:w="60"/>
              <w:left w:type="dxa" w:w="100"/>
              <w:bottom w:type="dxa" w:w="60"/>
              <w:right w:type="dxa" w:w="100"/>
            </w:tcMar>
          </w:tcPr>
          <w:p>
            <w:pPr>
              <w:bidi/>
              <w:spacing w:after="0" w:line="300" w:lineRule="auto"/>
              <w:jc w:val="center"/>
            </w:pPr>
            <w:r>
              <w:rPr>
                <w:rFonts w:ascii="David" w:cs="David" w:eastAsia="David" w:hAnsi="David"/>
                <w:b/>
                <w:bCs/>
                <w:sz w:val="24"/>
                <w:szCs w:val="24"/>
                <w:rtl/>
              </w:rPr>
              <w:t xml:space="preserve">היכן מופיע</w:t>
            </w:r>
          </w:p>
        </w:tc>
        <w:tc>
          <w:tcPr>
            <w:tcW w:type="dxa" w:w="3236"/>
            <w:tcBorders>
              <w:top w:val="single" w:color="808080" w:sz="4"/>
              <w:left w:val="single" w:color="808080" w:sz="4"/>
              <w:bottom w:val="single" w:color="808080" w:sz="4"/>
              <w:right w:val="single" w:color="808080" w:sz="4"/>
            </w:tcBorders>
            <w:shd w:fill="D9D9D9" w:val="clear"/>
            <w:tcMar>
              <w:top w:type="dxa" w:w="60"/>
              <w:left w:type="dxa" w:w="100"/>
              <w:bottom w:type="dxa" w:w="60"/>
              <w:right w:type="dxa" w:w="100"/>
            </w:tcMar>
          </w:tcPr>
          <w:p>
            <w:pPr>
              <w:bidi/>
              <w:spacing w:after="0" w:line="300" w:lineRule="auto"/>
              <w:jc w:val="center"/>
            </w:pPr>
            <w:r>
              <w:rPr>
                <w:rFonts w:ascii="David" w:cs="David" w:eastAsia="David" w:hAnsi="David"/>
                <w:b/>
                <w:bCs/>
                <w:sz w:val="24"/>
                <w:szCs w:val="24"/>
                <w:rtl/>
              </w:rPr>
              <w:t xml:space="preserve">הערה</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שם המבקשת ות.ז.</w:t>
            </w:r>
          </w:p>
        </w:tc>
        <w:tc>
          <w:tcPr>
            <w:tcW w:type="dxa" w:w="3236"/>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מולא: שרה חד, ת.ז. 454455511</w:t>
            </w:r>
          </w:p>
        </w:tc>
        <w:tc>
          <w:tcPr>
            <w:tcW w:type="dxa" w:w="3236"/>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ספרת הביקורת של מספר ת.ז. זה אינה תקינה - לבדוק מול תעודת הזהות</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שם המשיב ות.ז.</w:t>
            </w:r>
          </w:p>
        </w:tc>
        <w:tc>
          <w:tcPr>
            <w:tcW w:type="dxa" w:w="3236"/>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הבקשה</w:t>
            </w:r>
          </w:p>
        </w:tc>
        <w:tc>
          <w:tcPr>
            <w:tcW w:type="dxa" w:w="3236"/>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זהה בכל המסמכים</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שמות הקטינים, ת.ז. ותאריכי לידה</w:t>
            </w:r>
          </w:p>
        </w:tc>
        <w:tc>
          <w:tcPr>
            <w:tcW w:type="dxa" w:w="3236"/>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כותרת הבקשה</w:t>
            </w:r>
          </w:p>
        </w:tc>
        <w:tc>
          <w:tcPr>
            <w:tcW w:type="dxa" w:w="3236"/>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לפי ספח ת.ז.</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עיר בית המשפט ומספר תיק</w:t>
            </w:r>
          </w:p>
        </w:tc>
        <w:tc>
          <w:tcPr>
            <w:tcW w:type="dxa" w:w="3236"/>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הבקשה</w:t>
            </w:r>
          </w:p>
        </w:tc>
        <w:tc>
          <w:tcPr>
            <w:tcW w:type="dxa" w:w="3236"/>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לפי מקום מגורי הקטינים</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תאריך נישואין ותאריך פרידה</w:t>
            </w:r>
          </w:p>
        </w:tc>
        <w:tc>
          <w:tcPr>
            <w:tcW w:type="dxa" w:w="3236"/>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פרק ב' בבקשה</w:t>
            </w:r>
          </w:p>
        </w:tc>
        <w:tc>
          <w:tcPr>
            <w:tcW w:type="dxa" w:w="3236"/>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300" w:lineRule="auto"/>
              <w:jc w:val="start"/>
            </w:pP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פרטי הליך הגירושין</w:t>
            </w:r>
          </w:p>
        </w:tc>
        <w:tc>
          <w:tcPr>
            <w:tcW w:type="dxa" w:w="3236"/>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פרק ב' בבקשה</w:t>
            </w:r>
          </w:p>
        </w:tc>
        <w:tc>
          <w:tcPr>
            <w:tcW w:type="dxa" w:w="3236"/>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ערכאה ומספר תיק</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מקום מגורי המשיב והמרחק</w:t>
            </w:r>
          </w:p>
        </w:tc>
        <w:tc>
          <w:tcPr>
            <w:tcW w:type="dxa" w:w="3236"/>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פרק ב' בבקשה</w:t>
            </w:r>
          </w:p>
        </w:tc>
        <w:tc>
          <w:tcPr>
            <w:tcW w:type="dxa" w:w="3236"/>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בק"מ</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מקרי סירוב לחתום</w:t>
            </w:r>
          </w:p>
        </w:tc>
        <w:tc>
          <w:tcPr>
            <w:tcW w:type="dxa" w:w="3236"/>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פרק ג' בבקשה</w:t>
            </w:r>
          </w:p>
        </w:tc>
        <w:tc>
          <w:tcPr>
            <w:tcW w:type="dxa" w:w="3236"/>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תאריך, מסמך, תגובה, תוצאה</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מזונות: החלטה, חוב, תיק הוצל"פ</w:t>
            </w:r>
          </w:p>
        </w:tc>
        <w:tc>
          <w:tcPr>
            <w:tcW w:type="dxa" w:w="3236"/>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פרק ג' בבקשה</w:t>
            </w:r>
          </w:p>
        </w:tc>
        <w:tc>
          <w:tcPr>
            <w:tcW w:type="dxa" w:w="3236"/>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300" w:lineRule="auto"/>
              <w:jc w:val="start"/>
            </w:pP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פרטי ב"כ (מ.ר., כתובת, טל', דוא"ל)</w:t>
            </w:r>
          </w:p>
        </w:tc>
        <w:tc>
          <w:tcPr>
            <w:tcW w:type="dxa" w:w="3236"/>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300" w:lineRule="auto"/>
              <w:jc w:val="start"/>
            </w:pPr>
            <w:r>
              <w:rPr>
                <w:rFonts w:ascii="David" w:cs="David" w:eastAsia="David" w:hAnsi="David"/>
                <w:sz w:val="24"/>
                <w:szCs w:val="24"/>
                <w:rtl/>
              </w:rPr>
              <w:t xml:space="preserve">כותרת הבקשה</w:t>
            </w:r>
          </w:p>
        </w:tc>
        <w:tc>
          <w:tcPr>
            <w:tcW w:type="dxa" w:w="3236"/>
            <w:tcBorders>
              <w:top w:val="single" w:color="808080" w:sz="4"/>
              <w:left w:val="single" w:color="808080" w:sz="4"/>
              <w:bottom w:val="single" w:color="808080" w:sz="4"/>
              <w:right w:val="single" w:color="808080" w:sz="4"/>
            </w:tcBorders>
            <w:tcMar>
              <w:top w:type="dxa" w:w="60"/>
              <w:left w:type="dxa" w:w="100"/>
              <w:bottom w:type="dxa" w:w="60"/>
              <w:right w:type="dxa" w:w="100"/>
            </w:tcMar>
          </w:tcPr>
          <w:p>
            <w:pPr>
              <w:bidi/>
              <w:spacing w:after="0" w:line="300" w:lineRule="auto"/>
              <w:jc w:val="start"/>
            </w:pPr>
          </w:p>
        </w:tc>
      </w:tr>
    </w:tbl>
    <w:p>
      <w:pPr>
        <w:keepNext/>
        <w:bidi/>
        <w:spacing w:after="120" w:before="240" w:line="360" w:lineRule="auto"/>
        <w:jc w:val="start"/>
      </w:pPr>
      <w:r>
        <w:rPr>
          <w:rFonts w:ascii="David" w:cs="David" w:eastAsia="David" w:hAnsi="David"/>
          <w:b/>
          <w:bCs/>
          <w:sz w:val="24"/>
          <w:szCs w:val="24"/>
          <w:u w:val="single"/>
          <w:rtl/>
        </w:rPr>
        <w:t xml:space="preserve">הערות מקצועיות לפני ההגשה</w:t>
      </w:r>
    </w:p>
    <w:p>
      <w:pPr>
        <w:pStyle w:val="ListParagraph"/>
        <w:numPr>
          <w:ilvl w:val="0"/>
          <w:numId w:val="2"/>
        </w:numPr>
        <w:bidi/>
        <w:spacing w:after="120" w:before="0" w:line="360" w:lineRule="auto"/>
        <w:jc w:val="both"/>
      </w:pPr>
      <w:r>
        <w:rPr>
          <w:rFonts w:ascii="David" w:cs="David" w:eastAsia="David" w:hAnsi="David"/>
          <w:b/>
          <w:bCs/>
          <w:sz w:val="24"/>
          <w:szCs w:val="24"/>
          <w:rtl/>
        </w:rPr>
        <w:t xml:space="preserve">סמכות - לבדוק ראשון. </w:t>
      </w:r>
      <w:r>
        <w:rPr>
          <w:rFonts w:ascii="David" w:cs="David" w:eastAsia="David" w:hAnsi="David"/>
          <w:sz w:val="24"/>
          <w:szCs w:val="24"/>
          <w:rtl/>
        </w:rPr>
        <w:t xml:space="preserve">אם תביעת הגירושין הוגשה לבית הדין הרבני ונכרכו בה ענייני הילדים (משמורת, חינוך), ייתכן שהסמכות בעניין זה נתונה לבית הדין. יש לבדוק את כתב התביעה בבית הדין לפני ההגשה, ולהתאים את סעיף 4 בפרק ב' לבקשה.</w:t>
      </w:r>
    </w:p>
    <w:p>
      <w:pPr>
        <w:pStyle w:val="ListParagraph"/>
        <w:numPr>
          <w:ilvl w:val="0"/>
          <w:numId w:val="2"/>
        </w:numPr>
        <w:bidi/>
        <w:spacing w:after="120" w:before="0" w:line="360" w:lineRule="auto"/>
        <w:jc w:val="both"/>
      </w:pPr>
      <w:r>
        <w:rPr>
          <w:rFonts w:ascii="David" w:cs="David" w:eastAsia="David" w:hAnsi="David"/>
          <w:b/>
          <w:bCs/>
          <w:sz w:val="24"/>
          <w:szCs w:val="24"/>
          <w:rtl/>
        </w:rPr>
        <w:t xml:space="preserve">יישוב סכסוך. </w:t>
      </w:r>
      <w:r>
        <w:rPr>
          <w:rFonts w:ascii="David" w:cs="David" w:eastAsia="David" w:hAnsi="David"/>
          <w:sz w:val="24"/>
          <w:szCs w:val="24"/>
          <w:rtl/>
        </w:rPr>
        <w:t xml:space="preserve">אם אין עדיין הליך תלוי בין הצדדים בבית המשפט לענייני משפחה, יש להגיש תחילה בקשה ליישוב סכסוך לפי החוק להסדר התדיינויות בסכסוכי משפחה, התשע"ה-2014. אם הבקשה מוגשת בתוך הליך קיים - יש למחוק את הסעיף האחרון בפרק ה'.</w:t>
      </w:r>
    </w:p>
    <w:p>
      <w:pPr>
        <w:pStyle w:val="ListParagraph"/>
        <w:numPr>
          <w:ilvl w:val="0"/>
          <w:numId w:val="2"/>
        </w:numPr>
        <w:bidi/>
        <w:spacing w:after="120" w:before="0" w:line="360" w:lineRule="auto"/>
        <w:jc w:val="both"/>
      </w:pPr>
      <w:r>
        <w:rPr>
          <w:rFonts w:ascii="David" w:cs="David" w:eastAsia="David" w:hAnsi="David"/>
          <w:b/>
          <w:bCs/>
          <w:sz w:val="24"/>
          <w:szCs w:val="24"/>
          <w:rtl/>
        </w:rPr>
        <w:t xml:space="preserve">הדוגמאות הקונקרטיות הן לב הבקשה. </w:t>
      </w:r>
      <w:r>
        <w:rPr>
          <w:rFonts w:ascii="David" w:cs="David" w:eastAsia="David" w:hAnsi="David"/>
          <w:sz w:val="24"/>
          <w:szCs w:val="24"/>
          <w:rtl/>
        </w:rPr>
        <w:t xml:space="preserve">בתי המשפט נותנים סמכות בלעדית על יסוד אירועים מתועדים: תאריך, הפנייה, תגובת האב והנזק לילד. בלי שניים-שלושה מקרים כאלה, סביר שהסעד העיקרי יידחה, או שהתיק יופנה לתסקיר ויתארך. יש לצרף צילומי מסך והודעות כנספח ג'.</w:t>
      </w:r>
    </w:p>
    <w:p>
      <w:pPr>
        <w:pStyle w:val="ListParagraph"/>
        <w:numPr>
          <w:ilvl w:val="0"/>
          <w:numId w:val="2"/>
        </w:numPr>
        <w:bidi/>
        <w:spacing w:after="120" w:before="0" w:line="360" w:lineRule="auto"/>
        <w:jc w:val="both"/>
      </w:pPr>
      <w:r>
        <w:rPr>
          <w:rFonts w:ascii="David" w:cs="David" w:eastAsia="David" w:hAnsi="David"/>
          <w:b/>
          <w:bCs/>
          <w:sz w:val="24"/>
          <w:szCs w:val="24"/>
          <w:rtl/>
        </w:rPr>
        <w:t xml:space="preserve">דיוק לגבי הקשר עם האב. </w:t>
      </w:r>
      <w:r>
        <w:rPr>
          <w:rFonts w:ascii="David" w:cs="David" w:eastAsia="David" w:hAnsi="David"/>
          <w:sz w:val="24"/>
          <w:szCs w:val="24"/>
          <w:rtl/>
        </w:rPr>
        <w:t xml:space="preserve">אם קיים קשר כלשהו בין האב לילדים, יש לתאר אותו כפי שהוא. הגזמה תפגע באמינות המבקשת בכל ההליך, כולל בהליך הגירושין.</w:t>
      </w:r>
    </w:p>
    <w:p>
      <w:pPr>
        <w:pStyle w:val="ListParagraph"/>
        <w:numPr>
          <w:ilvl w:val="0"/>
          <w:numId w:val="2"/>
        </w:numPr>
        <w:bidi/>
        <w:spacing w:after="120" w:before="0" w:line="360" w:lineRule="auto"/>
        <w:jc w:val="both"/>
      </w:pPr>
      <w:r>
        <w:rPr>
          <w:rFonts w:ascii="David" w:cs="David" w:eastAsia="David" w:hAnsi="David"/>
          <w:b/>
          <w:bCs/>
          <w:sz w:val="24"/>
          <w:szCs w:val="24"/>
          <w:rtl/>
        </w:rPr>
        <w:t xml:space="preserve">מזונות. </w:t>
      </w:r>
      <w:r>
        <w:rPr>
          <w:rFonts w:ascii="David" w:cs="David" w:eastAsia="David" w:hAnsi="David"/>
          <w:sz w:val="24"/>
          <w:szCs w:val="24"/>
          <w:rtl/>
        </w:rPr>
        <w:t xml:space="preserve">אי-תשלום מזונות אינו עילה משפטית לאפוטרופסות בלעדית. הוא מוצג בבקשה כראיה לניתוק מהאחריות ההורית, ולא מעבר לכך. אין להרחיב בו.</w:t>
      </w:r>
    </w:p>
    <w:p>
      <w:pPr>
        <w:pStyle w:val="ListParagraph"/>
        <w:numPr>
          <w:ilvl w:val="0"/>
          <w:numId w:val="2"/>
        </w:numPr>
        <w:bidi/>
        <w:spacing w:after="120" w:before="0" w:line="360" w:lineRule="auto"/>
        <w:jc w:val="both"/>
      </w:pPr>
      <w:r>
        <w:rPr>
          <w:rFonts w:ascii="David" w:cs="David" w:eastAsia="David" w:hAnsi="David"/>
          <w:b/>
          <w:bCs/>
          <w:sz w:val="24"/>
          <w:szCs w:val="24"/>
          <w:rtl/>
        </w:rPr>
        <w:t xml:space="preserve">יציאה לחו"ל (סעד ב(6)). </w:t>
      </w:r>
      <w:r>
        <w:rPr>
          <w:rFonts w:ascii="David" w:cs="David" w:eastAsia="David" w:hAnsi="David"/>
          <w:sz w:val="24"/>
          <w:szCs w:val="24"/>
          <w:rtl/>
        </w:rPr>
        <w:t xml:space="preserve">סעיף זה עלול לעורר התנגדות של האב ולהאט את ההליך כולו. מומלץ לכלול אותו רק אם יש צורך ממשי וקרוב. אחרת, עדיף למחוק אותו ולהגיש בקשה נפרדת בעת הצורך.</w:t>
      </w:r>
    </w:p>
    <w:p>
      <w:pPr>
        <w:pStyle w:val="ListParagraph"/>
        <w:numPr>
          <w:ilvl w:val="0"/>
          <w:numId w:val="2"/>
        </w:numPr>
        <w:bidi/>
        <w:spacing w:after="120" w:before="0" w:line="360" w:lineRule="auto"/>
        <w:jc w:val="both"/>
      </w:pPr>
      <w:r>
        <w:rPr>
          <w:rFonts w:ascii="David" w:cs="David" w:eastAsia="David" w:hAnsi="David"/>
          <w:b/>
          <w:bCs/>
          <w:sz w:val="24"/>
          <w:szCs w:val="24"/>
          <w:rtl/>
        </w:rPr>
        <w:t xml:space="preserve">ההסדר המוצע לעדכון האב. </w:t>
      </w:r>
      <w:r>
        <w:rPr>
          <w:rFonts w:ascii="David" w:cs="David" w:eastAsia="David" w:hAnsi="David"/>
          <w:sz w:val="24"/>
          <w:szCs w:val="24"/>
          <w:rtl/>
        </w:rPr>
        <w:t xml:space="preserve">זהו מרכיב חשוב: הוא מציג את המבקשת כהורה הוגן ומקל על בית המשפט ליתן את הסעד. מומלץ שלא להסירו.</w:t>
      </w:r>
    </w:p>
    <w:p>
      <w:pPr>
        <w:pStyle w:val="ListParagraph"/>
        <w:numPr>
          <w:ilvl w:val="0"/>
          <w:numId w:val="2"/>
        </w:numPr>
        <w:bidi/>
        <w:spacing w:after="120" w:before="0" w:line="360" w:lineRule="auto"/>
        <w:jc w:val="both"/>
      </w:pPr>
      <w:r>
        <w:rPr>
          <w:rFonts w:ascii="David" w:cs="David" w:eastAsia="David" w:hAnsi="David"/>
          <w:b/>
          <w:bCs/>
          <w:sz w:val="24"/>
          <w:szCs w:val="24"/>
          <w:rtl/>
        </w:rPr>
        <w:t xml:space="preserve">תסקיר. </w:t>
      </w:r>
      <w:r>
        <w:rPr>
          <w:rFonts w:ascii="David" w:cs="David" w:eastAsia="David" w:hAnsi="David"/>
          <w:sz w:val="24"/>
          <w:szCs w:val="24"/>
          <w:rtl/>
        </w:rPr>
        <w:t xml:space="preserve">בית המשפט עשוי להפנות את העניין לעו"ס לסדרי דין. יש להכין את המבקשת לכך.</w:t>
      </w:r>
    </w:p>
    <w:p>
      <w:pPr>
        <w:pStyle w:val="ListParagraph"/>
        <w:numPr>
          <w:ilvl w:val="0"/>
          <w:numId w:val="2"/>
        </w:numPr>
        <w:bidi/>
        <w:spacing w:after="120" w:before="0" w:line="360" w:lineRule="auto"/>
        <w:jc w:val="both"/>
      </w:pPr>
      <w:r>
        <w:rPr>
          <w:rFonts w:ascii="David" w:cs="David" w:eastAsia="David" w:hAnsi="David"/>
          <w:b/>
          <w:bCs/>
          <w:sz w:val="24"/>
          <w:szCs w:val="24"/>
          <w:rtl/>
        </w:rPr>
        <w:t xml:space="preserve">אסמכתאות. </w:t>
      </w:r>
      <w:r>
        <w:rPr>
          <w:rFonts w:ascii="David" w:cs="David" w:eastAsia="David" w:hAnsi="David"/>
          <w:sz w:val="24"/>
          <w:szCs w:val="24"/>
          <w:rtl/>
        </w:rPr>
        <w:t xml:space="preserve">יש לאמת בנבו את ההפניות לפסיקה ולחקיקה לפני ההגשה, ולשקול להוסיף פסיקה עדכנית של בתי המשפט לענייני משפחה בעניין מתן סמכות בלעדית להורה.</w:t>
      </w:r>
    </w:p>
    <w:p>
      <w:pPr>
        <w:pStyle w:val="ListParagraph"/>
        <w:numPr>
          <w:ilvl w:val="0"/>
          <w:numId w:val="2"/>
        </w:numPr>
        <w:bidi/>
        <w:spacing w:after="120" w:before="0" w:line="360" w:lineRule="auto"/>
        <w:jc w:val="both"/>
      </w:pPr>
      <w:r>
        <w:rPr>
          <w:rFonts w:ascii="David" w:cs="David" w:eastAsia="David" w:hAnsi="David"/>
          <w:b/>
          <w:bCs/>
          <w:sz w:val="24"/>
          <w:szCs w:val="24"/>
          <w:rtl/>
        </w:rPr>
        <w:t xml:space="preserve">טקסט מסומן בצהוב. </w:t>
      </w:r>
      <w:r>
        <w:rPr>
          <w:rFonts w:ascii="David" w:cs="David" w:eastAsia="David" w:hAnsi="David"/>
          <w:sz w:val="24"/>
          <w:szCs w:val="24"/>
          <w:rtl/>
        </w:rPr>
        <w:t xml:space="preserve">כל טקסט בסוגריים מרובעים המסומן בצהוב הוא הנחיה: יש להחליפו בפרטים או למחוק אותו, ולהסיר את הסימון. לבסוף יש לחפש "[" ו-"___" ולוודא שלא נשאר דבר.</w:t>
      </w:r>
    </w:p>
    <w:p>
      <w:pPr>
        <w:pStyle w:val="ListParagraph"/>
        <w:numPr>
          <w:ilvl w:val="0"/>
          <w:numId w:val="2"/>
        </w:numPr>
        <w:bidi/>
        <w:spacing w:after="120" w:before="0" w:line="360" w:lineRule="auto"/>
        <w:jc w:val="both"/>
      </w:pPr>
      <w:r>
        <w:rPr>
          <w:rFonts w:ascii="David" w:cs="David" w:eastAsia="David" w:hAnsi="David"/>
          <w:b/>
          <w:bCs/>
          <w:sz w:val="24"/>
          <w:szCs w:val="24"/>
          <w:rtl/>
        </w:rPr>
        <w:t xml:space="preserve">מספור הנספחים. </w:t>
      </w:r>
      <w:r>
        <w:rPr>
          <w:rFonts w:ascii="David" w:cs="David" w:eastAsia="David" w:hAnsi="David"/>
          <w:sz w:val="24"/>
          <w:szCs w:val="24"/>
          <w:rtl/>
        </w:rPr>
        <w:t xml:space="preserve">אם נספח ד' או ה' אינו מצורף, יש למחוק את הסעיף בפרק ז' לבקשה.</w:t>
      </w:r>
    </w:p>
    <w:p>
      <w:pPr>
        <w:keepNext/>
        <w:bidi/>
        <w:spacing w:after="120" w:before="240" w:line="360" w:lineRule="auto"/>
        <w:jc w:val="start"/>
      </w:pPr>
      <w:r>
        <w:rPr>
          <w:rFonts w:ascii="David" w:cs="David" w:eastAsia="David" w:hAnsi="David"/>
          <w:b/>
          <w:bCs/>
          <w:sz w:val="24"/>
          <w:szCs w:val="24"/>
          <w:u w:val="single"/>
          <w:rtl/>
        </w:rPr>
        <w:t xml:space="preserve">נספחים לצירוף</w:t>
      </w:r>
    </w:p>
    <w:p>
      <w:pPr>
        <w:pStyle w:val="ListParagraph"/>
        <w:numPr>
          <w:ilvl w:val="0"/>
          <w:numId w:val="3"/>
        </w:numPr>
        <w:bidi/>
        <w:spacing w:after="120" w:before="0" w:line="360" w:lineRule="auto"/>
        <w:jc w:val="both"/>
      </w:pPr>
      <w:r>
        <w:rPr>
          <w:rFonts w:ascii="David" w:cs="David" w:eastAsia="David" w:hAnsi="David"/>
          <w:sz w:val="24"/>
          <w:szCs w:val="24"/>
          <w:rtl/>
        </w:rPr>
        <w:t xml:space="preserve">נספח א' - תצהיר המבקשת, חתום ומאומת.</w:t>
      </w:r>
    </w:p>
    <w:p>
      <w:pPr>
        <w:pStyle w:val="ListParagraph"/>
        <w:numPr>
          <w:ilvl w:val="0"/>
          <w:numId w:val="3"/>
        </w:numPr>
        <w:bidi/>
        <w:spacing w:after="120" w:before="0" w:line="360" w:lineRule="auto"/>
        <w:jc w:val="both"/>
      </w:pPr>
      <w:r>
        <w:rPr>
          <w:rFonts w:ascii="David" w:cs="David" w:eastAsia="David" w:hAnsi="David"/>
          <w:sz w:val="24"/>
          <w:szCs w:val="24"/>
          <w:rtl/>
        </w:rPr>
        <w:t xml:space="preserve">נספח ב' - צילום ספח ת.ז. של המבקשת, שבו רשומים הקטינים.</w:t>
      </w:r>
    </w:p>
    <w:p>
      <w:pPr>
        <w:pStyle w:val="ListParagraph"/>
        <w:numPr>
          <w:ilvl w:val="0"/>
          <w:numId w:val="3"/>
        </w:numPr>
        <w:bidi/>
        <w:spacing w:after="120" w:before="0" w:line="360" w:lineRule="auto"/>
        <w:jc w:val="both"/>
      </w:pPr>
      <w:r>
        <w:rPr>
          <w:rFonts w:ascii="David" w:cs="David" w:eastAsia="David" w:hAnsi="David"/>
          <w:sz w:val="24"/>
          <w:szCs w:val="24"/>
          <w:rtl/>
        </w:rPr>
        <w:t xml:space="preserve">נספח ג' - התכתבויות עם המשיב בדבר הפניות לחתימה.</w:t>
      </w:r>
    </w:p>
    <w:p>
      <w:pPr>
        <w:pStyle w:val="ListParagraph"/>
        <w:numPr>
          <w:ilvl w:val="0"/>
          <w:numId w:val="3"/>
        </w:numPr>
        <w:bidi/>
        <w:spacing w:after="120" w:before="0" w:line="360" w:lineRule="auto"/>
        <w:jc w:val="both"/>
      </w:pPr>
      <w:r>
        <w:rPr>
          <w:rFonts w:ascii="David" w:cs="David" w:eastAsia="David" w:hAnsi="David"/>
          <w:sz w:val="24"/>
          <w:szCs w:val="24"/>
          <w:rtl/>
        </w:rPr>
        <w:t xml:space="preserve">נספח ד' - מסמכים ממוסדות החינוך והגורמים הרפואיים (אם יש).</w:t>
      </w:r>
    </w:p>
    <w:p>
      <w:pPr>
        <w:pStyle w:val="ListParagraph"/>
        <w:numPr>
          <w:ilvl w:val="0"/>
          <w:numId w:val="3"/>
        </w:numPr>
        <w:bidi/>
        <w:spacing w:after="120" w:before="0" w:line="360" w:lineRule="auto"/>
        <w:jc w:val="both"/>
      </w:pPr>
      <w:r>
        <w:rPr>
          <w:rFonts w:ascii="David" w:cs="David" w:eastAsia="David" w:hAnsi="David"/>
          <w:sz w:val="24"/>
          <w:szCs w:val="24"/>
          <w:rtl/>
        </w:rPr>
        <w:t xml:space="preserve">נספח ה' - החלטה בעניין מזונות / אישור חוב מההוצאה לפועל (אם יש).</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tab"/>
      <w:lvlText w:val="%1."/>
      <w:lvlJc w:val="start"/>
      <w:pPr>
        <w:ind w:left="567" w:hanging="567"/>
      </w:pPr>
      <w:rPr>
        <w:rFonts w:ascii="David" w:cs="David" w:eastAsia="David" w:hAnsi="David"/>
        <w:sz w:val="24"/>
        <w:szCs w:val="24"/>
        <w:rtl/>
      </w:rPr>
    </w:lvl>
    <w:lvl w:ilvl="1" w15:tentative="1">
      <w:start w:val="1"/>
      <w:numFmt w:val="decimal"/>
      <w:suff w:val="tab"/>
      <w:lvlText w:val="(%2)"/>
      <w:lvlJc w:val="start"/>
      <w:pPr>
        <w:ind w:left="1134" w:hanging="567"/>
      </w:pPr>
      <w:rPr>
        <w:rFonts w:ascii="David" w:cs="David" w:eastAsia="David" w:hAnsi="David"/>
        <w:sz w:val="24"/>
        <w:szCs w:val="24"/>
        <w:rtl/>
      </w:rPr>
    </w:lvl>
  </w:abstractNum>
  <w:abstractNum w:abstractNumId="3" w15:restartNumberingAfterBreak="0">
    <w:multiLevelType w:val="hybridMultilevel"/>
    <w:lvl w:ilvl="0" w15:tentative="1">
      <w:start w:val="1"/>
      <w:numFmt w:val="hebrew1"/>
      <w:suff w:val="tab"/>
      <w:lvlText w:val="%1."/>
      <w:lvlJc w:val="start"/>
      <w:pPr>
        <w:ind w:left="567" w:hanging="567"/>
      </w:pPr>
      <w:rPr>
        <w:rFonts w:ascii="David" w:cs="David" w:eastAsia="David" w:hAnsi="David"/>
        <w:sz w:val="24"/>
        <w:szCs w:val="24"/>
        <w:rtl/>
      </w:rPr>
    </w:lvl>
    <w:lvl w:ilvl="1" w15:tentative="1">
      <w:start w:val="1"/>
      <w:numFmt w:val="decimal"/>
      <w:suff w:val="tab"/>
      <w:lvlText w:val="(%2)"/>
      <w:lvlJc w:val="start"/>
      <w:pPr>
        <w:ind w:left="1134" w:hanging="567"/>
      </w:pPr>
      <w:rPr>
        <w:rFonts w:ascii="David" w:cs="David" w:eastAsia="David" w:hAnsi="David"/>
        <w:sz w:val="24"/>
        <w:szCs w:val="24"/>
        <w:rtl/>
      </w:rPr>
    </w:lvl>
  </w:abstractNum>
  <w:abstractNum w:abstractNumId="4" w15:restartNumberingAfterBreak="0">
    <w:multiLevelType w:val="hybridMultilevel"/>
    <w:lvl w:ilvl="0" w15:tentative="1">
      <w:start w:val="1"/>
      <w:numFmt w:val="bullet"/>
      <w:suff w:val="tab"/>
      <w:lvlText w:val="•"/>
      <w:lvlJc w:val="start"/>
      <w:pPr>
        <w:ind w:left="567" w:hanging="567"/>
      </w:pPr>
      <w:rPr>
        <w:rFonts w:ascii="David" w:cs="David" w:eastAsia="David" w:hAnsi="David"/>
        <w:sz w:val="24"/>
        <w:szCs w:val="24"/>
        <w:rtl/>
      </w:r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הנחיות מילוי</dc:title>
  <dc:creator>סולומון טקה, עו"ד</dc:creator>
  <cp:lastModifiedBy>Un-named</cp:lastModifiedBy>
  <cp:revision>1</cp:revision>
  <dcterms:created xsi:type="dcterms:W3CDTF">2026-10-25T14:46:54.761Z</dcterms:created>
  <dcterms:modified xsi:type="dcterms:W3CDTF">2026-10-25T14:46:54.769Z</dcterms:modified>
</cp:coreProperties>
</file>

<file path=docProps/custom.xml><?xml version="1.0" encoding="utf-8"?>
<Properties xmlns="http://schemas.openxmlformats.org/officeDocument/2006/custom-properties" xmlns:vt="http://schemas.openxmlformats.org/officeDocument/2006/docPropsVTypes"/>
</file>