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c>
          <w:tcPr>
            <w:tcW w:type="dxa" w:w="4706"/>
            <w:tcBorders>
              <w:top w:val="none" w:color="FFFFFF" w:sz="0"/>
              <w:left w:val="none" w:color="FFFFFF" w:sz="0"/>
              <w:bottom w:val="none" w:color="FFFFFF" w:sz="0"/>
              <w:right w:val="none" w:color="FFFFFF" w:sz="0"/>
            </w:tcBorders>
            <w:tcMar>
              <w:top w:type="dxa" w:w="40"/>
              <w:left w:type="dxa" w:w="60"/>
              <w:bottom w:type="dxa" w:w="40"/>
              <w:right w:type="dxa" w:w="60"/>
            </w:tcMar>
          </w:tcPr>
          <w:p>
            <w:pPr>
              <w:bidi/>
              <w:spacing w:after="0" w:before="0" w:line="276" w:lineRule="auto"/>
              <w:jc w:val="start"/>
            </w:pPr>
            <w:r>
              <w:rPr>
                <w:rFonts w:ascii="David" w:cs="David" w:eastAsia="David" w:hAnsi="David"/>
                <w:b/>
                <w:bCs/>
                <w:sz w:val="26"/>
                <w:szCs w:val="26"/>
                <w:rtl/>
              </w:rPr>
              <w:t xml:space="preserve">בבית הדין האזורי לעבודה</w:t>
            </w:r>
          </w:p>
          <w:p>
            <w:pPr>
              <w:bidi/>
              <w:spacing w:after="0" w:before="0" w:line="276" w:lineRule="auto"/>
              <w:jc w:val="start"/>
            </w:pPr>
            <w:r>
              <w:rPr>
                <w:rFonts w:ascii="David" w:cs="David" w:eastAsia="David" w:hAnsi="David"/>
                <w:b/>
                <w:bCs/>
                <w:sz w:val="26"/>
                <w:szCs w:val="26"/>
                <w:rtl/>
              </w:rPr>
              <w:t xml:space="preserve">בנצרת</w:t>
            </w:r>
          </w:p>
        </w:tc>
        <w:tc>
          <w:tcPr>
            <w:tcW w:type="dxa" w:w="4706"/>
            <w:tcBorders>
              <w:top w:val="none" w:color="FFFFFF" w:sz="0"/>
              <w:left w:val="none" w:color="FFFFFF" w:sz="0"/>
              <w:bottom w:val="none" w:color="FFFFFF" w:sz="0"/>
              <w:right w:val="none" w:color="FFFFFF" w:sz="0"/>
            </w:tcBorders>
            <w:tcMar>
              <w:top w:type="dxa" w:w="40"/>
              <w:left w:type="dxa" w:w="60"/>
              <w:bottom w:type="dxa" w:w="40"/>
              <w:right w:type="dxa" w:w="60"/>
            </w:tcMar>
          </w:tcPr>
          <w:p>
            <w:pPr>
              <w:bidi/>
              <w:spacing w:after="0" w:before="0" w:line="276" w:lineRule="auto"/>
              <w:jc w:val="end"/>
            </w:pPr>
            <w:r>
              <w:rPr>
                <w:rFonts w:ascii="David" w:cs="David" w:eastAsia="David" w:hAnsi="David"/>
                <w:b/>
                <w:bCs/>
                <w:sz w:val="23"/>
                <w:szCs w:val="23"/>
                <w:rtl/>
              </w:rPr>
              <w:t xml:space="preserve">ס"ע ________________</w:t>
            </w:r>
          </w:p>
          <w:p>
            <w:pPr>
              <w:bidi/>
              <w:spacing w:after="0" w:before="0" w:line="276" w:lineRule="auto"/>
              <w:jc w:val="end"/>
            </w:pPr>
            <w:r>
              <w:rPr>
                <w:rFonts w:ascii="David" w:cs="David" w:eastAsia="David" w:hAnsi="David"/>
                <w:sz w:val="23"/>
                <w:szCs w:val="23"/>
                <w:rtl/>
              </w:rPr>
              <w:t xml:space="preserve">תאריך: 09.09.2026</w:t>
            </w:r>
          </w:p>
        </w:tc>
      </w:tr>
    </w:tbl>
    <w:p>
      <w:pPr>
        <w:bidi/>
        <w:spacing w:after="60" w:before="0" w:line="276" w:lineRule="auto"/>
        <w:jc w:val="both"/>
      </w:pPr>
      <w:r>
        <w:rPr>
          <w:rFonts w:ascii="David" w:cs="David" w:eastAsia="David" w:hAnsi="David"/>
          <w:sz w:val="23"/>
          <w:szCs w:val="23"/>
          <w:rtl/>
        </w:rPr>
        <w:t xml:space="preserve"/>
      </w:r>
    </w:p>
    <w:tbl>
      <w:tblPr>
        <w:bidiVisual/>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0"/>
        <w:gridCol w:w="7912"/>
      </w:tblGrid>
      <w:t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bidi/>
              <w:spacing w:after="0" w:before="0" w:line="276" w:lineRule="auto"/>
              <w:jc w:val="start"/>
            </w:pPr>
            <w:r>
              <w:rPr>
                <w:rFonts w:ascii="David" w:cs="David" w:eastAsia="David" w:hAnsi="David"/>
                <w:b/>
                <w:bCs/>
                <w:sz w:val="23"/>
                <w:szCs w:val="23"/>
                <w:rtl/>
              </w:rPr>
              <w:t xml:space="preserve">התובע:</w:t>
            </w:r>
          </w:p>
        </w:tc>
        <w:tc>
          <w:tcPr>
            <w:tcW w:type="dxa" w:w="7912"/>
            <w:tcBorders>
              <w:top w:val="none" w:color="FFFFFF" w:sz="0"/>
              <w:left w:val="none" w:color="FFFFFF" w:sz="0"/>
              <w:bottom w:val="none" w:color="FFFFFF" w:sz="0"/>
              <w:right w:val="none" w:color="FFFFFF" w:sz="0"/>
            </w:tcBorders>
            <w:tcMar>
              <w:top w:type="dxa" w:w="40"/>
              <w:left w:type="dxa" w:w="60"/>
              <w:bottom w:type="dxa" w:w="40"/>
              <w:right w:type="dxa" w:w="60"/>
            </w:tcMar>
          </w:tcPr>
          <w:p>
            <w:pPr>
              <w:bidi/>
              <w:spacing w:after="0" w:before="0" w:line="276" w:lineRule="auto"/>
              <w:jc w:val="start"/>
            </w:pPr>
            <w:r>
              <w:rPr>
                <w:rFonts w:ascii="David" w:cs="David" w:eastAsia="David" w:hAnsi="David"/>
                <w:b/>
                <w:bCs/>
                <w:sz w:val="23"/>
                <w:szCs w:val="23"/>
                <w:rtl/>
              </w:rPr>
              <w:t xml:space="preserve">עומר עלמו (בתלושי השכר: "אלמטה עומר"), ת"ז 329502223</w:t>
            </w:r>
          </w:p>
          <w:p>
            <w:pPr>
              <w:bidi/>
              <w:spacing w:after="0" w:before="0" w:line="276" w:lineRule="auto"/>
              <w:jc w:val="start"/>
            </w:pPr>
            <w:r>
              <w:rPr>
                <w:rFonts w:ascii="David" w:cs="David" w:eastAsia="David" w:hAnsi="David"/>
                <w:sz w:val="23"/>
                <w:szCs w:val="23"/>
                <w:rtl/>
              </w:rPr>
              <w:t xml:space="preserve">מרחוב האגמון 8, חדרה 3836822</w:t>
            </w:r>
          </w:p>
          <w:p>
            <w:pPr>
              <w:bidi/>
              <w:spacing w:after="0" w:before="0" w:line="276" w:lineRule="auto"/>
              <w:jc w:val="start"/>
            </w:pPr>
            <w:r>
              <w:rPr>
                <w:rFonts w:ascii="David" w:cs="David" w:eastAsia="David" w:hAnsi="David"/>
                <w:sz w:val="23"/>
                <w:szCs w:val="23"/>
                <w:rtl/>
              </w:rPr>
              <w:t xml:space="preserve">ע"י ב"כ עו"ד סולומון טקה, רישיון מס' 4545</w:t>
            </w:r>
          </w:p>
          <w:p>
            <w:pPr>
              <w:bidi/>
              <w:spacing w:after="0" w:before="0" w:line="276" w:lineRule="auto"/>
              <w:jc w:val="start"/>
            </w:pPr>
            <w:r>
              <w:rPr>
                <w:rFonts w:ascii="David" w:cs="David" w:eastAsia="David" w:hAnsi="David"/>
                <w:sz w:val="23"/>
                <w:szCs w:val="23"/>
                <w:rtl/>
              </w:rPr>
              <w:t xml:space="preserve">מרחוב פינסקר 21, נתניה; טל': 052-3700918</w:t>
            </w:r>
          </w:p>
        </w:tc>
      </w:tr>
      <w:t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bidi/>
              <w:spacing w:after="0" w:before="0" w:line="276" w:lineRule="auto"/>
              <w:jc w:val="both"/>
            </w:pPr>
            <w:r>
              <w:rPr>
                <w:rFonts w:ascii="David" w:cs="David" w:eastAsia="David" w:hAnsi="David"/>
                <w:sz w:val="23"/>
                <w:szCs w:val="23"/>
                <w:rtl/>
              </w:rPr>
              <w:t xml:space="preserve"/>
            </w:r>
          </w:p>
        </w:tc>
        <w:tc>
          <w:tcPr>
            <w:tcW w:type="dxa" w:w="7912"/>
            <w:tcBorders>
              <w:top w:val="none" w:color="FFFFFF" w:sz="0"/>
              <w:left w:val="none" w:color="FFFFFF" w:sz="0"/>
              <w:bottom w:val="none" w:color="FFFFFF" w:sz="0"/>
              <w:right w:val="none" w:color="FFFFFF" w:sz="0"/>
            </w:tcBorders>
            <w:tcMar>
              <w:top w:type="dxa" w:w="40"/>
              <w:left w:type="dxa" w:w="60"/>
              <w:bottom w:type="dxa" w:w="40"/>
              <w:right w:type="dxa" w:w="60"/>
            </w:tcMar>
          </w:tcPr>
          <w:p>
            <w:pPr>
              <w:bidi/>
              <w:spacing w:after="80" w:before="80" w:line="276" w:lineRule="auto"/>
              <w:jc w:val="start"/>
            </w:pPr>
            <w:r>
              <w:rPr>
                <w:rFonts w:ascii="David" w:cs="David" w:eastAsia="David" w:hAnsi="David"/>
                <w:b/>
                <w:bCs/>
                <w:sz w:val="23"/>
                <w:szCs w:val="23"/>
                <w:rtl/>
              </w:rPr>
              <w:t xml:space="preserve">- נגד -</w:t>
            </w:r>
          </w:p>
        </w:tc>
      </w:tr>
      <w:t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bidi/>
              <w:spacing w:after="0" w:before="0" w:line="276" w:lineRule="auto"/>
              <w:jc w:val="start"/>
            </w:pPr>
            <w:r>
              <w:rPr>
                <w:rFonts w:ascii="David" w:cs="David" w:eastAsia="David" w:hAnsi="David"/>
                <w:b/>
                <w:bCs/>
                <w:sz w:val="23"/>
                <w:szCs w:val="23"/>
                <w:rtl/>
              </w:rPr>
              <w:t xml:space="preserve">הנתבעת:</w:t>
            </w:r>
          </w:p>
        </w:tc>
        <w:tc>
          <w:tcPr>
            <w:tcW w:type="dxa" w:w="7912"/>
            <w:tcBorders>
              <w:top w:val="none" w:color="FFFFFF" w:sz="0"/>
              <w:left w:val="none" w:color="FFFFFF" w:sz="0"/>
              <w:bottom w:val="none" w:color="FFFFFF" w:sz="0"/>
              <w:right w:val="none" w:color="FFFFFF" w:sz="0"/>
            </w:tcBorders>
            <w:tcMar>
              <w:top w:type="dxa" w:w="40"/>
              <w:left w:type="dxa" w:w="60"/>
              <w:bottom w:type="dxa" w:w="40"/>
              <w:right w:type="dxa" w:w="60"/>
            </w:tcMar>
          </w:tcPr>
          <w:p>
            <w:pPr>
              <w:bidi/>
              <w:spacing w:after="0" w:before="0" w:line="276" w:lineRule="auto"/>
              <w:jc w:val="start"/>
            </w:pPr>
            <w:r>
              <w:rPr>
                <w:rFonts w:ascii="David" w:cs="David" w:eastAsia="David" w:hAnsi="David"/>
                <w:b/>
                <w:bCs/>
                <w:sz w:val="23"/>
                <w:szCs w:val="23"/>
                <w:rtl/>
              </w:rPr>
              <w:t xml:space="preserve">ד.ע משי ארועים בעמק בע"מ, ח.פ. 516510633</w:t>
            </w:r>
          </w:p>
          <w:p>
            <w:pPr>
              <w:bidi/>
              <w:spacing w:after="0" w:before="0" w:line="276" w:lineRule="auto"/>
              <w:jc w:val="start"/>
            </w:pPr>
            <w:r>
              <w:rPr>
                <w:rFonts w:ascii="David" w:cs="David" w:eastAsia="David" w:hAnsi="David"/>
                <w:sz w:val="23"/>
                <w:szCs w:val="23"/>
                <w:rtl/>
              </w:rPr>
              <w:t xml:space="preserve">מאזור תעשייה עמק חפר, עפולה</w:t>
            </w:r>
          </w:p>
        </w:tc>
      </w:tr>
    </w:tbl>
    <w:p>
      <w:pPr>
        <w:bidi/>
        <w:spacing w:after="40" w:before="0" w:line="276" w:lineRule="auto"/>
        <w:jc w:val="both"/>
      </w:pPr>
      <w:r>
        <w:rPr>
          <w:rFonts w:ascii="David" w:cs="David" w:eastAsia="David" w:hAnsi="David"/>
          <w:sz w:val="23"/>
          <w:szCs w:val="23"/>
          <w:rtl/>
        </w:rPr>
        <w:t xml:space="preserve"/>
      </w:r>
    </w:p>
    <w:p>
      <w:pPr>
        <w:bidi/>
        <w:spacing w:after="40" w:before="0" w:line="276" w:lineRule="auto"/>
        <w:jc w:val="both"/>
      </w:pPr>
      <w:r>
        <w:rPr>
          <w:rFonts w:ascii="David" w:cs="David" w:eastAsia="David" w:hAnsi="David"/>
          <w:b/>
          <w:bCs/>
          <w:sz w:val="23"/>
          <w:szCs w:val="23"/>
          <w:rtl/>
        </w:rPr>
        <w:t xml:space="preserve">מהות התביעה: </w:t>
      </w:r>
      <w:r>
        <w:rPr>
          <w:rFonts w:ascii="David" w:cs="David" w:eastAsia="David" w:hAnsi="David"/>
          <w:sz w:val="23"/>
          <w:szCs w:val="23"/>
          <w:rtl/>
        </w:rPr>
        <w:t xml:space="preserve">פיצויי פיטורים, דמי הודעה מוקדמת, הפרשות לפנסיה, פדיון חופשה ופיצוי בגין פיטורים שלא כדין.</w:t>
      </w:r>
    </w:p>
    <w:p>
      <w:pPr>
        <w:bidi/>
        <w:spacing w:after="40" w:before="0" w:line="276" w:lineRule="auto"/>
        <w:jc w:val="both"/>
      </w:pPr>
      <w:r>
        <w:rPr>
          <w:rFonts w:ascii="David" w:cs="David" w:eastAsia="David" w:hAnsi="David"/>
          <w:b/>
          <w:bCs/>
          <w:sz w:val="23"/>
          <w:szCs w:val="23"/>
          <w:rtl/>
        </w:rPr>
        <w:t xml:space="preserve">סכום התביעה: </w:t>
      </w:r>
      <w:r>
        <w:rPr>
          <w:rFonts w:ascii="David" w:cs="David" w:eastAsia="David" w:hAnsi="David"/>
          <w:sz w:val="23"/>
          <w:szCs w:val="23"/>
          <w:rtl/>
        </w:rPr>
        <w:t xml:space="preserve">27,901 ₪.</w:t>
      </w:r>
    </w:p>
    <w:p>
      <w:pPr>
        <w:bidi/>
        <w:spacing w:after="40" w:before="0" w:line="276" w:lineRule="auto"/>
        <w:jc w:val="both"/>
      </w:pPr>
      <w:r>
        <w:rPr>
          <w:rFonts w:ascii="David" w:cs="David" w:eastAsia="David" w:hAnsi="David"/>
          <w:b/>
          <w:bCs/>
          <w:sz w:val="23"/>
          <w:szCs w:val="23"/>
          <w:rtl/>
        </w:rPr>
        <w:t xml:space="preserve">אגרה: </w:t>
      </w:r>
      <w:r>
        <w:rPr>
          <w:rFonts w:ascii="David" w:cs="David" w:eastAsia="David" w:hAnsi="David"/>
          <w:sz w:val="23"/>
          <w:szCs w:val="23"/>
          <w:rtl/>
        </w:rPr>
        <w:t xml:space="preserve">בהתאם לתקנות בית הדין לעבודה (אגרות), התשס"ח-2008, לפי התוספת.</w:t>
      </w:r>
    </w:p>
    <w:p>
      <w:pPr>
        <w:bidi/>
        <w:spacing w:after="160" w:before="120" w:line="276" w:lineRule="auto"/>
        <w:jc w:val="center"/>
      </w:pPr>
      <w:r>
        <w:rPr>
          <w:rFonts w:ascii="David" w:cs="David" w:eastAsia="David" w:hAnsi="David"/>
          <w:b/>
          <w:bCs/>
          <w:sz w:val="30"/>
          <w:szCs w:val="30"/>
          <w:u w:val="single"/>
          <w:rtl/>
        </w:rPr>
        <w:t xml:space="preserve">כתב תביעה</w:t>
      </w:r>
    </w:p>
    <w:p>
      <w:pPr>
        <w:bidi/>
        <w:spacing w:after="60" w:before="0" w:line="276" w:lineRule="auto"/>
        <w:jc w:val="start"/>
      </w:pPr>
      <w:r>
        <w:rPr>
          <w:rFonts w:ascii="David" w:cs="David" w:eastAsia="David" w:hAnsi="David"/>
          <w:b/>
          <w:bCs/>
          <w:sz w:val="23"/>
          <w:szCs w:val="23"/>
          <w:u w:val="single"/>
          <w:rtl/>
        </w:rPr>
        <w:t xml:space="preserve">א. הצדדים ותקופת העבודה</w:t>
      </w:r>
    </w:p>
    <w:p>
      <w:pPr>
        <w:pStyle w:val="ListParagraph"/>
        <w:numPr>
          <w:ilvl w:val="0"/>
          <w:numId w:val="2"/>
        </w:numPr>
        <w:bidi/>
        <w:spacing w:after="100" w:before="0" w:line="276" w:lineRule="auto"/>
        <w:jc w:val="both"/>
      </w:pPr>
      <w:r>
        <w:rPr>
          <w:rFonts w:ascii="David" w:cs="David" w:eastAsia="David" w:hAnsi="David"/>
          <w:sz w:val="23"/>
          <w:szCs w:val="23"/>
          <w:rtl/>
        </w:rPr>
        <w:t xml:space="preserve">התובע הועסק אצל הנתבעת, חברה העוסקת בהפקת אירועים, כעובד שעתי ברציפות מיום </w:t>
      </w:r>
      <w:r>
        <w:rPr>
          <w:rFonts w:ascii="David" w:cs="David" w:eastAsia="David" w:hAnsi="David"/>
          <w:b/>
          <w:bCs/>
          <w:sz w:val="23"/>
          <w:szCs w:val="23"/>
          <w:rtl/>
        </w:rPr>
        <w:t xml:space="preserve">01.05.2022</w:t>
      </w:r>
      <w:r>
        <w:rPr>
          <w:rFonts w:ascii="David" w:cs="David" w:eastAsia="David" w:hAnsi="David"/>
          <w:sz w:val="23"/>
          <w:szCs w:val="23"/>
          <w:rtl/>
        </w:rPr>
        <w:t xml:space="preserve"> ועד לחודש </w:t>
      </w:r>
      <w:r>
        <w:rPr>
          <w:rFonts w:ascii="David" w:cs="David" w:eastAsia="David" w:hAnsi="David"/>
          <w:b/>
          <w:bCs/>
          <w:sz w:val="23"/>
          <w:szCs w:val="23"/>
          <w:rtl/>
        </w:rPr>
        <w:t xml:space="preserve">אוגוסט 2024</w:t>
      </w:r>
      <w:r>
        <w:rPr>
          <w:rFonts w:ascii="David" w:cs="David" w:eastAsia="David" w:hAnsi="David"/>
          <w:sz w:val="23"/>
          <w:szCs w:val="23"/>
          <w:rtl/>
        </w:rPr>
        <w:t xml:space="preserve">, תקופה של שנתיים וארבעה חודשים, עת הופסקה עבודתו על ידי הנתבעת. תלושי השכר לתקופת העבודה מצורפים כנספח א'.</w:t>
      </w:r>
    </w:p>
    <w:p>
      <w:pPr>
        <w:pStyle w:val="ListParagraph"/>
        <w:numPr>
          <w:ilvl w:val="0"/>
          <w:numId w:val="2"/>
        </w:numPr>
        <w:bidi/>
        <w:spacing w:after="100" w:before="0" w:line="276" w:lineRule="auto"/>
        <w:jc w:val="both"/>
      </w:pPr>
      <w:r>
        <w:rPr>
          <w:rFonts w:ascii="David" w:cs="David" w:eastAsia="David" w:hAnsi="David"/>
          <w:sz w:val="23"/>
          <w:szCs w:val="23"/>
          <w:rtl/>
        </w:rPr>
        <w:t xml:space="preserve">שכרו של התובע שולם לפי תעריף שעתי (30 ₪ ובהמשך 32.33 ₪ לשעה) בתוספת תשלום קבוע בגין כל משמרת אירוע (250-300 ₪ למשמרת). שכרו הממוצע של התובע בשנים-עשר חודשי העבודה האחרונים, בנטרול דמי הבראה, עמד על סך </w:t>
      </w:r>
      <w:r>
        <w:rPr>
          <w:rFonts w:ascii="David" w:cs="David" w:eastAsia="David" w:hAnsi="David"/>
          <w:b/>
          <w:bCs/>
          <w:sz w:val="23"/>
          <w:szCs w:val="23"/>
          <w:rtl/>
        </w:rPr>
        <w:t xml:space="preserve">3,500 ₪</w:t>
      </w:r>
      <w:r>
        <w:rPr>
          <w:rFonts w:ascii="David" w:cs="David" w:eastAsia="David" w:hAnsi="David"/>
          <w:sz w:val="23"/>
          <w:szCs w:val="23"/>
          <w:rtl/>
        </w:rPr>
        <w:t xml:space="preserve"> לחודש (להלן: "השכר הקובע").</w:t>
      </w:r>
    </w:p>
    <w:p>
      <w:pPr>
        <w:pStyle w:val="ListParagraph"/>
        <w:numPr>
          <w:ilvl w:val="0"/>
          <w:numId w:val="2"/>
        </w:numPr>
        <w:bidi/>
        <w:spacing w:after="100" w:before="0" w:line="276" w:lineRule="auto"/>
        <w:jc w:val="both"/>
      </w:pPr>
      <w:r>
        <w:rPr>
          <w:rFonts w:ascii="David" w:cs="David" w:eastAsia="David" w:hAnsi="David"/>
          <w:sz w:val="23"/>
          <w:szCs w:val="23"/>
          <w:rtl/>
        </w:rPr>
        <w:t xml:space="preserve">בחודשים האחרונים להעסקתו צמצמה הנתבעת באופן חד-צדדי את היקף המשמרות שהוקצו לתובע, עד כדי משמרת אחת או שתיים בחודש, ובחודש אוגוסט 2024 הופסקה העסקתו כליל. הפסקת העבודה נעשתה כלאחר יד, בלא הודעה מוקדמת בכתב, בלא שימוע ובלא שניתנה לתובע כל הזדמנות להשמיע את טענותיו.</w:t>
      </w:r>
    </w:p>
    <w:p>
      <w:pPr>
        <w:pStyle w:val="ListParagraph"/>
        <w:numPr>
          <w:ilvl w:val="0"/>
          <w:numId w:val="2"/>
        </w:numPr>
        <w:bidi/>
        <w:spacing w:after="100" w:before="0" w:line="276" w:lineRule="auto"/>
        <w:jc w:val="both"/>
      </w:pPr>
      <w:r>
        <w:rPr>
          <w:rFonts w:ascii="David" w:cs="David" w:eastAsia="David" w:hAnsi="David"/>
          <w:sz w:val="23"/>
          <w:szCs w:val="23"/>
          <w:rtl/>
        </w:rPr>
        <w:t xml:space="preserve">עם סיום העבודה לא ערכה הנתבעת לתובע גמר חשבון, ולא שולם לו דבר בגין זכויותיו הסוציאליות. פניות התובע לנתבעת בדרישה לקבל את זכויותיו לא נענו.</w:t>
      </w:r>
    </w:p>
    <w:p>
      <w:pPr>
        <w:bidi/>
        <w:spacing w:after="60" w:before="60" w:line="276" w:lineRule="auto"/>
        <w:jc w:val="start"/>
      </w:pPr>
      <w:r>
        <w:rPr>
          <w:rFonts w:ascii="David" w:cs="David" w:eastAsia="David" w:hAnsi="David"/>
          <w:b/>
          <w:bCs/>
          <w:sz w:val="23"/>
          <w:szCs w:val="23"/>
          <w:u w:val="single"/>
          <w:rtl/>
        </w:rPr>
        <w:t xml:space="preserve">ב. הפרת זכויות התובע</w:t>
      </w:r>
    </w:p>
    <w:p>
      <w:pPr>
        <w:pStyle w:val="ListParagraph"/>
        <w:numPr>
          <w:ilvl w:val="0"/>
          <w:numId w:val="2"/>
        </w:numPr>
        <w:bidi/>
        <w:spacing w:after="100" w:before="0" w:line="276" w:lineRule="auto"/>
        <w:jc w:val="both"/>
      </w:pPr>
      <w:r>
        <w:rPr>
          <w:rFonts w:ascii="David" w:cs="David" w:eastAsia="David" w:hAnsi="David"/>
          <w:b/>
          <w:bCs/>
          <w:sz w:val="23"/>
          <w:szCs w:val="23"/>
          <w:rtl/>
        </w:rPr>
        <w:t xml:space="preserve">אי-הפרשה לפנסיה: </w:t>
      </w:r>
      <w:r>
        <w:rPr>
          <w:rFonts w:ascii="David" w:cs="David" w:eastAsia="David" w:hAnsi="David"/>
          <w:sz w:val="23"/>
          <w:szCs w:val="23"/>
          <w:rtl/>
        </w:rPr>
        <w:t xml:space="preserve">מתלושי השכר עולה כי לאורך כל תקופת העבודה לא הפרישה הנתבעת ולו שקל אחד לביטוח פנסיוני עבור התובע. בכל התלושים מופיע ברכיב "קופ"ג מעסיק" וברכיב "פיצויים מעסיק" הסכום 0.00. זאת בניגוד לצו ההרחבה לביטוח פנסיוני מקיף במשק, המחייב מעסיק להפריש לקופת גמל לקצבה בשיעור 6.5% משכר העובד, לכל המאוחר מתום ששת חודשי העבודה הראשונים.</w:t>
      </w:r>
    </w:p>
    <w:p>
      <w:pPr>
        <w:pStyle w:val="ListParagraph"/>
        <w:numPr>
          <w:ilvl w:val="0"/>
          <w:numId w:val="2"/>
        </w:numPr>
        <w:bidi/>
        <w:spacing w:after="100" w:before="0" w:line="276" w:lineRule="auto"/>
        <w:jc w:val="both"/>
      </w:pPr>
      <w:r>
        <w:rPr>
          <w:rFonts w:ascii="David" w:cs="David" w:eastAsia="David" w:hAnsi="David"/>
          <w:b/>
          <w:bCs/>
          <w:sz w:val="23"/>
          <w:szCs w:val="23"/>
          <w:rtl/>
        </w:rPr>
        <w:t xml:space="preserve">אי-תשלום פיצויי פיטורים: </w:t>
      </w:r>
      <w:r>
        <w:rPr>
          <w:rFonts w:ascii="David" w:cs="David" w:eastAsia="David" w:hAnsi="David"/>
          <w:sz w:val="23"/>
          <w:szCs w:val="23"/>
          <w:rtl/>
        </w:rPr>
        <w:t xml:space="preserve">התובע הועסק למעלה משנה ופוטר על ידי הנתבעת, ועל כן זכאי הוא לפיצויי פיטורים מכוח סעיף 1 לחוק פיצויי פיטורים, התשכ"ג-1963. משלא בוצעה כל הפרשה לרכיב הפיצויים, חב המעסיק במלוא הפיצויים.</w:t>
      </w:r>
    </w:p>
    <w:p>
      <w:pPr>
        <w:pStyle w:val="ListParagraph"/>
        <w:numPr>
          <w:ilvl w:val="0"/>
          <w:numId w:val="2"/>
        </w:numPr>
        <w:bidi/>
        <w:spacing w:after="100" w:before="0" w:line="276" w:lineRule="auto"/>
        <w:jc w:val="both"/>
      </w:pPr>
      <w:r>
        <w:rPr>
          <w:rFonts w:ascii="David" w:cs="David" w:eastAsia="David" w:hAnsi="David"/>
          <w:b/>
          <w:bCs/>
          <w:sz w:val="23"/>
          <w:szCs w:val="23"/>
          <w:rtl/>
        </w:rPr>
        <w:t xml:space="preserve">אי-מתן הודעה מוקדמת: </w:t>
      </w:r>
      <w:r>
        <w:rPr>
          <w:rFonts w:ascii="David" w:cs="David" w:eastAsia="David" w:hAnsi="David"/>
          <w:sz w:val="23"/>
          <w:szCs w:val="23"/>
          <w:rtl/>
        </w:rPr>
        <w:t xml:space="preserve">הנתבעת לא נתנה לתובע הודעה מוקדמת לפיטורים כנדרש בחוק הודעה מוקדמת לפיטורים ולהתפטרות, התשס"א-2001. התובע, עובד בשכר בעל ותק העולה על שנתיים, זכאי להודעה מוקדמת של חודש ימים.</w:t>
      </w:r>
    </w:p>
    <w:p>
      <w:pPr>
        <w:pStyle w:val="ListParagraph"/>
        <w:numPr>
          <w:ilvl w:val="0"/>
          <w:numId w:val="2"/>
        </w:numPr>
        <w:bidi/>
        <w:spacing w:after="100" w:before="0" w:line="276" w:lineRule="auto"/>
        <w:jc w:val="both"/>
      </w:pPr>
      <w:r>
        <w:rPr>
          <w:rFonts w:ascii="David" w:cs="David" w:eastAsia="David" w:hAnsi="David"/>
          <w:b/>
          <w:bCs/>
          <w:sz w:val="23"/>
          <w:szCs w:val="23"/>
          <w:rtl/>
        </w:rPr>
        <w:t xml:space="preserve">אי-פדיון חופשה: </w:t>
      </w:r>
      <w:r>
        <w:rPr>
          <w:rFonts w:ascii="David" w:cs="David" w:eastAsia="David" w:hAnsi="David"/>
          <w:sz w:val="23"/>
          <w:szCs w:val="23"/>
          <w:rtl/>
        </w:rPr>
        <w:t xml:space="preserve">על פי תלוש השכר האחרון (8/2024) שהנפיקה הנתבעת עצמה, עמדה לזכות התובע יתרת חופשה צבורה ובלתי מנוצלת של </w:t>
      </w:r>
      <w:r>
        <w:rPr>
          <w:rFonts w:ascii="David" w:cs="David" w:eastAsia="David" w:hAnsi="David"/>
          <w:b/>
          <w:bCs/>
          <w:sz w:val="23"/>
          <w:szCs w:val="23"/>
          <w:rtl/>
        </w:rPr>
        <w:t xml:space="preserve">15.26 ימים</w:t>
      </w:r>
      <w:r>
        <w:rPr>
          <w:rFonts w:ascii="David" w:cs="David" w:eastAsia="David" w:hAnsi="David"/>
          <w:sz w:val="23"/>
          <w:szCs w:val="23"/>
          <w:rtl/>
        </w:rPr>
        <w:t xml:space="preserve">, אשר לא נפדתה עם סיום העבודה, בניגוד לסעיף 13 לחוק חופשה שנתית, התשי"א-1951.</w:t>
      </w:r>
    </w:p>
    <w:p>
      <w:pPr>
        <w:pStyle w:val="ListParagraph"/>
        <w:numPr>
          <w:ilvl w:val="0"/>
          <w:numId w:val="2"/>
        </w:numPr>
        <w:bidi/>
        <w:spacing w:after="100" w:before="0" w:line="276" w:lineRule="auto"/>
        <w:jc w:val="both"/>
      </w:pPr>
      <w:r>
        <w:rPr>
          <w:rFonts w:ascii="David" w:cs="David" w:eastAsia="David" w:hAnsi="David"/>
          <w:b/>
          <w:bCs/>
          <w:sz w:val="23"/>
          <w:szCs w:val="23"/>
          <w:rtl/>
        </w:rPr>
        <w:t xml:space="preserve">פיטורים שלא כדין: </w:t>
      </w:r>
      <w:r>
        <w:rPr>
          <w:rFonts w:ascii="David" w:cs="David" w:eastAsia="David" w:hAnsi="David"/>
          <w:sz w:val="23"/>
          <w:szCs w:val="23"/>
          <w:rtl/>
        </w:rPr>
        <w:t xml:space="preserve">הפסקת העבודה נעשתה ללא שימוע וללא הודעה, תוך הפרת חובת תום הלב וכללי הצדק הטבעי החלים על מעסיק, ומזכה את התובע בפיצוי כספי.</w:t>
      </w:r>
    </w:p>
    <w:p>
      <w:pPr>
        <w:bidi/>
        <w:spacing w:after="60" w:before="60" w:line="276" w:lineRule="auto"/>
        <w:jc w:val="start"/>
      </w:pPr>
      <w:r>
        <w:rPr>
          <w:rFonts w:ascii="David" w:cs="David" w:eastAsia="David" w:hAnsi="David"/>
          <w:b/>
          <w:bCs/>
          <w:sz w:val="23"/>
          <w:szCs w:val="23"/>
          <w:u w:val="single"/>
          <w:rtl/>
        </w:rPr>
        <w:t xml:space="preserve">ג. הסעדים</w:t>
      </w:r>
    </w:p>
    <w:p>
      <w:pPr>
        <w:pStyle w:val="ListParagraph"/>
        <w:numPr>
          <w:ilvl w:val="0"/>
          <w:numId w:val="2"/>
        </w:numPr>
        <w:bidi/>
        <w:spacing w:after="100" w:before="0" w:line="276" w:lineRule="auto"/>
        <w:jc w:val="both"/>
      </w:pPr>
      <w:r>
        <w:rPr>
          <w:rFonts w:ascii="David" w:cs="David" w:eastAsia="David" w:hAnsi="David"/>
          <w:b/>
          <w:bCs/>
          <w:sz w:val="23"/>
          <w:szCs w:val="23"/>
          <w:rtl/>
        </w:rPr>
        <w:t xml:space="preserve">פיצויי פיטורים: </w:t>
      </w:r>
      <w:r>
        <w:rPr>
          <w:rFonts w:ascii="David" w:cs="David" w:eastAsia="David" w:hAnsi="David"/>
          <w:sz w:val="23"/>
          <w:szCs w:val="23"/>
          <w:rtl/>
        </w:rPr>
        <w:t xml:space="preserve">3,500 ₪ × 28/12 חודשי עבודה = </w:t>
      </w:r>
      <w:r>
        <w:rPr>
          <w:rFonts w:ascii="David" w:cs="David" w:eastAsia="David" w:hAnsi="David"/>
          <w:b/>
          <w:bCs/>
          <w:sz w:val="23"/>
          <w:szCs w:val="23"/>
          <w:rtl/>
        </w:rPr>
        <w:t xml:space="preserve">8,167 ₪</w:t>
      </w:r>
      <w:r>
        <w:rPr>
          <w:rFonts w:ascii="David" w:cs="David" w:eastAsia="David" w:hAnsi="David"/>
          <w:sz w:val="23"/>
          <w:szCs w:val="23"/>
          <w:rtl/>
        </w:rPr>
        <w:t xml:space="preserve">.</w:t>
      </w:r>
    </w:p>
    <w:p>
      <w:pPr>
        <w:pStyle w:val="ListParagraph"/>
        <w:numPr>
          <w:ilvl w:val="0"/>
          <w:numId w:val="2"/>
        </w:numPr>
        <w:bidi/>
        <w:spacing w:after="100" w:before="0" w:line="276" w:lineRule="auto"/>
        <w:jc w:val="both"/>
      </w:pPr>
      <w:r>
        <w:rPr>
          <w:rFonts w:ascii="David" w:cs="David" w:eastAsia="David" w:hAnsi="David"/>
          <w:b/>
          <w:bCs/>
          <w:sz w:val="23"/>
          <w:szCs w:val="23"/>
          <w:rtl/>
        </w:rPr>
        <w:t xml:space="preserve">דמי הודעה מוקדמת: </w:t>
      </w:r>
      <w:r>
        <w:rPr>
          <w:rFonts w:ascii="David" w:cs="David" w:eastAsia="David" w:hAnsi="David"/>
          <w:sz w:val="23"/>
          <w:szCs w:val="23"/>
          <w:rtl/>
        </w:rPr>
        <w:t xml:space="preserve">חודש שכר קובע = </w:t>
      </w:r>
      <w:r>
        <w:rPr>
          <w:rFonts w:ascii="David" w:cs="David" w:eastAsia="David" w:hAnsi="David"/>
          <w:b/>
          <w:bCs/>
          <w:sz w:val="23"/>
          <w:szCs w:val="23"/>
          <w:rtl/>
        </w:rPr>
        <w:t xml:space="preserve">3,500 ₪</w:t>
      </w:r>
      <w:r>
        <w:rPr>
          <w:rFonts w:ascii="David" w:cs="David" w:eastAsia="David" w:hAnsi="David"/>
          <w:sz w:val="23"/>
          <w:szCs w:val="23"/>
          <w:rtl/>
        </w:rPr>
        <w:t xml:space="preserve">.</w:t>
      </w:r>
    </w:p>
    <w:p>
      <w:pPr>
        <w:pStyle w:val="ListParagraph"/>
        <w:numPr>
          <w:ilvl w:val="0"/>
          <w:numId w:val="2"/>
        </w:numPr>
        <w:bidi/>
        <w:spacing w:after="100" w:before="0" w:line="276" w:lineRule="auto"/>
        <w:jc w:val="both"/>
      </w:pPr>
      <w:r>
        <w:rPr>
          <w:rFonts w:ascii="David" w:cs="David" w:eastAsia="David" w:hAnsi="David"/>
          <w:b/>
          <w:bCs/>
          <w:sz w:val="23"/>
          <w:szCs w:val="23"/>
          <w:rtl/>
        </w:rPr>
        <w:t xml:space="preserve">הפרשות לפנסיה (חלק מעסיק): </w:t>
      </w:r>
      <w:r>
        <w:rPr>
          <w:rFonts w:ascii="David" w:cs="David" w:eastAsia="David" w:hAnsi="David"/>
          <w:sz w:val="23"/>
          <w:szCs w:val="23"/>
          <w:rtl/>
        </w:rPr>
        <w:t xml:space="preserve">6.5% מהשכר ששולם מחודש 11/2022 ועד 8/2024, בסך 74,818 ₪, ובסה"כ </w:t>
      </w:r>
      <w:r>
        <w:rPr>
          <w:rFonts w:ascii="David" w:cs="David" w:eastAsia="David" w:hAnsi="David"/>
          <w:b/>
          <w:bCs/>
          <w:sz w:val="23"/>
          <w:szCs w:val="23"/>
          <w:rtl/>
        </w:rPr>
        <w:t xml:space="preserve">4,863 ₪</w:t>
      </w:r>
      <w:r>
        <w:rPr>
          <w:rFonts w:ascii="David" w:cs="David" w:eastAsia="David" w:hAnsi="David"/>
          <w:sz w:val="23"/>
          <w:szCs w:val="23"/>
          <w:rtl/>
        </w:rPr>
        <w:t xml:space="preserve">. התובע שומר על זכותו לתבוע הפרשות ממועד תחילת העבודה, ככל שיתברר כי היה מבוטח בביטוח פנסיוני קודם.</w:t>
      </w:r>
    </w:p>
    <w:p>
      <w:pPr>
        <w:pStyle w:val="ListParagraph"/>
        <w:numPr>
          <w:ilvl w:val="0"/>
          <w:numId w:val="2"/>
        </w:numPr>
        <w:bidi/>
        <w:spacing w:after="100" w:before="0" w:line="276" w:lineRule="auto"/>
        <w:jc w:val="both"/>
      </w:pPr>
      <w:r>
        <w:rPr>
          <w:rFonts w:ascii="David" w:cs="David" w:eastAsia="David" w:hAnsi="David"/>
          <w:b/>
          <w:bCs/>
          <w:sz w:val="23"/>
          <w:szCs w:val="23"/>
          <w:rtl/>
        </w:rPr>
        <w:t xml:space="preserve">פדיון חופשה: </w:t>
      </w:r>
      <w:r>
        <w:rPr>
          <w:rFonts w:ascii="David" w:cs="David" w:eastAsia="David" w:hAnsi="David"/>
          <w:sz w:val="23"/>
          <w:szCs w:val="23"/>
          <w:rtl/>
        </w:rPr>
        <w:t xml:space="preserve">15.26 ימים × 286.44 ₪, תעריף יום לפי התלוש, ובסה"כ </w:t>
      </w:r>
      <w:r>
        <w:rPr>
          <w:rFonts w:ascii="David" w:cs="David" w:eastAsia="David" w:hAnsi="David"/>
          <w:b/>
          <w:bCs/>
          <w:sz w:val="23"/>
          <w:szCs w:val="23"/>
          <w:rtl/>
        </w:rPr>
        <w:t xml:space="preserve">4,371 ₪</w:t>
      </w:r>
      <w:r>
        <w:rPr>
          <w:rFonts w:ascii="David" w:cs="David" w:eastAsia="David" w:hAnsi="David"/>
          <w:sz w:val="23"/>
          <w:szCs w:val="23"/>
          <w:rtl/>
        </w:rPr>
        <w:t xml:space="preserve">.</w:t>
      </w:r>
    </w:p>
    <w:p>
      <w:pPr>
        <w:pStyle w:val="ListParagraph"/>
        <w:numPr>
          <w:ilvl w:val="0"/>
          <w:numId w:val="2"/>
        </w:numPr>
        <w:bidi/>
        <w:spacing w:after="100" w:before="0" w:line="276" w:lineRule="auto"/>
        <w:jc w:val="both"/>
      </w:pPr>
      <w:r>
        <w:rPr>
          <w:rFonts w:ascii="David" w:cs="David" w:eastAsia="David" w:hAnsi="David"/>
          <w:b/>
          <w:bCs/>
          <w:sz w:val="23"/>
          <w:szCs w:val="23"/>
          <w:rtl/>
        </w:rPr>
        <w:t xml:space="preserve">פיצוי בגין פיטורים ללא שימוע: </w:t>
      </w:r>
      <w:r>
        <w:rPr>
          <w:rFonts w:ascii="David" w:cs="David" w:eastAsia="David" w:hAnsi="David"/>
          <w:sz w:val="23"/>
          <w:szCs w:val="23"/>
          <w:rtl/>
        </w:rPr>
        <w:t xml:space="preserve">בשיעור שתי משכורות = </w:t>
      </w:r>
      <w:r>
        <w:rPr>
          <w:rFonts w:ascii="David" w:cs="David" w:eastAsia="David" w:hAnsi="David"/>
          <w:b/>
          <w:bCs/>
          <w:sz w:val="23"/>
          <w:szCs w:val="23"/>
          <w:rtl/>
        </w:rPr>
        <w:t xml:space="preserve">7,000 ₪</w:t>
      </w:r>
      <w:r>
        <w:rPr>
          <w:rFonts w:ascii="David" w:cs="David" w:eastAsia="David" w:hAnsi="David"/>
          <w:sz w:val="23"/>
          <w:szCs w:val="23"/>
          <w:rtl/>
        </w:rPr>
        <w:t xml:space="preserve">.</w:t>
      </w:r>
    </w:p>
    <w:p>
      <w:pPr>
        <w:pStyle w:val="ListParagraph"/>
        <w:numPr>
          <w:ilvl w:val="0"/>
          <w:numId w:val="2"/>
        </w:numPr>
        <w:bidi/>
        <w:spacing w:after="100" w:before="0" w:line="276" w:lineRule="auto"/>
        <w:jc w:val="both"/>
      </w:pPr>
      <w:r>
        <w:rPr>
          <w:rFonts w:ascii="David" w:cs="David" w:eastAsia="David" w:hAnsi="David"/>
          <w:sz w:val="23"/>
          <w:szCs w:val="23"/>
          <w:rtl/>
        </w:rPr>
        <w:t xml:space="preserve">סך הכל על הנתבעת לשלם לתובע </w:t>
      </w:r>
      <w:r>
        <w:rPr>
          <w:rFonts w:ascii="David" w:cs="David" w:eastAsia="David" w:hAnsi="David"/>
          <w:b/>
          <w:bCs/>
          <w:sz w:val="23"/>
          <w:szCs w:val="23"/>
          <w:rtl/>
        </w:rPr>
        <w:t xml:space="preserve">27,901 ₪</w:t>
      </w:r>
      <w:r>
        <w:rPr>
          <w:rFonts w:ascii="David" w:cs="David" w:eastAsia="David" w:hAnsi="David"/>
          <w:sz w:val="23"/>
          <w:szCs w:val="23"/>
          <w:rtl/>
        </w:rPr>
        <w:t xml:space="preserve">, בצירוף הפרשי הצמדה וריבית כחוק ממועד סיום העבודה ועד התשלום בפועל. לחלופין, ובכפוף לשיקול דעת בית הדין הנכבד, בצירוף פיצויי הלנת פיצויי פיטורים לפי סעיף 20 לחוק הגנת השכר, התשי"ח-1958.</w:t>
      </w:r>
    </w:p>
    <w:p>
      <w:pPr>
        <w:pStyle w:val="ListParagraph"/>
        <w:numPr>
          <w:ilvl w:val="0"/>
          <w:numId w:val="2"/>
        </w:numPr>
        <w:bidi/>
        <w:spacing w:after="100" w:before="0" w:line="276" w:lineRule="auto"/>
        <w:jc w:val="both"/>
      </w:pPr>
      <w:r>
        <w:rPr>
          <w:rFonts w:ascii="David" w:cs="David" w:eastAsia="David" w:hAnsi="David"/>
          <w:sz w:val="23"/>
          <w:szCs w:val="23"/>
          <w:rtl/>
        </w:rPr>
        <w:t xml:space="preserve">לבית דין נכבד זה הסמכות העניינית לדון בתביעה מכוח סעיף 24(א)(1) לחוק בית הדין לעבודה, התשכ"ט-1969, והסמכות המקומית נתונה לו בהיות מקום מושבה של הנתבעת בעפולה.</w:t>
      </w:r>
    </w:p>
    <w:p>
      <w:pPr>
        <w:pStyle w:val="ListParagraph"/>
        <w:numPr>
          <w:ilvl w:val="0"/>
          <w:numId w:val="2"/>
        </w:numPr>
        <w:bidi/>
        <w:spacing w:after="100" w:before="0" w:line="276" w:lineRule="auto"/>
        <w:jc w:val="both"/>
      </w:pPr>
      <w:r>
        <w:rPr>
          <w:rFonts w:ascii="David" w:cs="David" w:eastAsia="David" w:hAnsi="David"/>
          <w:sz w:val="23"/>
          <w:szCs w:val="23"/>
          <w:rtl/>
        </w:rPr>
        <w:t xml:space="preserve">התובע שומר על זכותו לתקן את כתב התביעה ולהוסיף עליו עם קבלת מלוא המסמכים מהנתבעת, ואין באמור לעיל כדי לגרוע מכל זכות העומדת לו על פי כל דין, הסכם, נוהג או צו הרחבה.</w:t>
      </w:r>
    </w:p>
    <w:p>
      <w:pPr>
        <w:pStyle w:val="ListParagraph"/>
        <w:numPr>
          <w:ilvl w:val="0"/>
          <w:numId w:val="2"/>
        </w:numPr>
        <w:bidi/>
        <w:spacing w:after="100" w:before="0" w:line="276" w:lineRule="auto"/>
        <w:jc w:val="both"/>
      </w:pPr>
      <w:r>
        <w:rPr>
          <w:rFonts w:ascii="David" w:cs="David" w:eastAsia="David" w:hAnsi="David"/>
          <w:sz w:val="23"/>
          <w:szCs w:val="23"/>
          <w:rtl/>
        </w:rPr>
        <w:t xml:space="preserve">אשר על כן מתבקש בית הדין הנכבד להזמין את הנתבעת לדין, לחייבה בתשלום הסכומים המפורטים לעיל, וכן לחייבה בהוצאות המשפט ובשכר טרחת עו"ד בתוספת מע"מ כדין.</w:t>
      </w:r>
    </w:p>
    <w:p>
      <w:pPr>
        <w:bidi/>
        <w:spacing w:after="200" w:before="0" w:line="276" w:lineRule="auto"/>
        <w:jc w:val="both"/>
      </w:pPr>
      <w:r>
        <w:rPr>
          <w:rFonts w:ascii="David" w:cs="David" w:eastAsia="David" w:hAnsi="David"/>
          <w:sz w:val="23"/>
          <w:szCs w:val="23"/>
          <w:rtl/>
        </w:rPr>
        <w:t xml:space="preserve"/>
      </w:r>
    </w:p>
    <w:p>
      <w:pPr>
        <w:bidi/>
        <w:spacing w:after="0" w:before="0" w:line="276" w:lineRule="auto"/>
        <w:jc w:val="end"/>
      </w:pPr>
      <w:r>
        <w:rPr>
          <w:rFonts w:ascii="David" w:cs="David" w:eastAsia="David" w:hAnsi="David"/>
          <w:sz w:val="23"/>
          <w:szCs w:val="23"/>
          <w:rtl/>
        </w:rPr>
        <w:t xml:space="preserve">_________________</w:t>
      </w:r>
    </w:p>
    <w:p>
      <w:pPr>
        <w:bidi/>
        <w:spacing w:after="0" w:before="0" w:line="276" w:lineRule="auto"/>
        <w:ind w:left="0" w:right="0"/>
        <w:jc w:val="end"/>
      </w:pPr>
      <w:r>
        <w:rPr>
          <w:rFonts w:ascii="David" w:cs="David" w:eastAsia="David" w:hAnsi="David"/>
          <w:b/>
          <w:bCs/>
          <w:sz w:val="23"/>
          <w:szCs w:val="23"/>
          <w:rtl/>
        </w:rPr>
        <w:t xml:space="preserve">סולומון טקה, עו"ד</w:t>
      </w:r>
    </w:p>
    <w:p>
      <w:pPr>
        <w:bidi/>
        <w:spacing w:after="0" w:before="0" w:line="276" w:lineRule="auto"/>
        <w:jc w:val="end"/>
      </w:pPr>
      <w:r>
        <w:rPr>
          <w:rFonts w:ascii="David" w:cs="David" w:eastAsia="David" w:hAnsi="David"/>
          <w:sz w:val="23"/>
          <w:szCs w:val="23"/>
          <w:rtl/>
        </w:rPr>
        <w:t xml:space="preserve">ב"כ התובע</w:t>
      </w:r>
    </w:p>
    <w:sectPr>
      <w:pgSz w:w="11906" w:h="16838" w:orient="portrait"/>
      <w:pgMar w:top="1134"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567" w:hanging="567"/>
      </w:pPr>
      <w:rPr>
        <w:rFonts w:ascii="David" w:cs="David" w:eastAsia="David" w:hAnsi="David"/>
        <w:b/>
        <w:bCs/>
        <w:sz w:val="23"/>
        <w:szCs w:val="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3"/>
        <w:szCs w:val="23"/>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2026-09-09T07:31:46.578Z</dcterms:created>
  <dcterms:modified xsi:type="dcterms:W3CDTF">2026-09-09T07:31:46.578Z</dcterms:modified>
</cp:coreProperties>
</file>

<file path=docProps/custom.xml><?xml version="1.0" encoding="utf-8"?>
<Properties xmlns="http://schemas.openxmlformats.org/officeDocument/2006/custom-properties" xmlns:vt="http://schemas.openxmlformats.org/officeDocument/2006/docPropsVTypes"/>
</file>