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jc w:val="start"/>
      </w:pPr>
      <w:r>
        <w:rPr>
          <w:rFonts w:ascii="David" w:cs="David" w:eastAsia="David" w:hAnsi="David"/>
          <w:b/>
          <w:bCs/>
          <w:sz w:val="24"/>
          <w:szCs w:val="24"/>
          <w:rtl/>
        </w:rPr>
        <w:t xml:space="preserve">בבית המשפט לענייני משפחה ב[___]</w:t>
      </w:r>
    </w:p>
    <w:p>
      <w:pPr>
        <w:bidi/>
        <w:spacing w:after="0"/>
        <w:jc w:val="start"/>
      </w:pPr>
      <w:r>
        <w:rPr>
          <w:rFonts w:ascii="David" w:cs="David" w:eastAsia="David" w:hAnsi="David"/>
          <w:b/>
          <w:bCs/>
          <w:sz w:val="24"/>
          <w:szCs w:val="24"/>
          <w:rtl/>
        </w:rPr>
        <w:t xml:space="preserve">תמ"ש [___]</w:t>
      </w:r>
    </w:p>
    <w:p>
      <w:pPr>
        <w:bidi/>
      </w:pPr>
    </w:p>
    <w:p>
      <w:pPr>
        <w:bidi/>
        <w:spacing w:after="0"/>
        <w:jc w:val="start"/>
      </w:pPr>
      <w:r>
        <w:rPr>
          <w:rFonts w:ascii="David" w:cs="David" w:eastAsia="David" w:hAnsi="David"/>
          <w:sz w:val="24"/>
          <w:szCs w:val="24"/>
          <w:rtl/>
        </w:rPr>
        <w:t xml:space="preserve">המבקש:	[שם המבקש], ת.ז. [___]</w:t>
      </w:r>
    </w:p>
    <w:p>
      <w:pPr>
        <w:bidi/>
      </w:pPr>
    </w:p>
    <w:p>
      <w:pPr>
        <w:bidi/>
        <w:spacing w:after="0"/>
        <w:jc w:val="start"/>
      </w:pPr>
      <w:r>
        <w:rPr>
          <w:rFonts w:ascii="David" w:cs="David" w:eastAsia="David" w:hAnsi="David"/>
          <w:sz w:val="24"/>
          <w:szCs w:val="24"/>
          <w:rtl/>
        </w:rPr>
        <w:t xml:space="preserve">נגד</w:t>
      </w:r>
    </w:p>
    <w:p>
      <w:pPr>
        <w:bidi/>
      </w:pPr>
    </w:p>
    <w:p>
      <w:pPr>
        <w:bidi/>
        <w:spacing w:after="0"/>
        <w:jc w:val="start"/>
      </w:pPr>
      <w:r>
        <w:rPr>
          <w:rFonts w:ascii="David" w:cs="David" w:eastAsia="David" w:hAnsi="David"/>
          <w:sz w:val="24"/>
          <w:szCs w:val="24"/>
          <w:rtl/>
        </w:rPr>
        <w:t xml:space="preserve">המשיבים:	1. [שם המשיבה 1]</w:t>
      </w:r>
    </w:p>
    <w:p>
      <w:pPr>
        <w:bidi/>
        <w:spacing w:after="0"/>
        <w:jc w:val="start"/>
      </w:pPr>
      <w:r>
        <w:rPr>
          <w:rFonts w:ascii="David" w:cs="David" w:eastAsia="David" w:hAnsi="David"/>
          <w:sz w:val="24"/>
          <w:szCs w:val="24"/>
          <w:rtl/>
        </w:rPr>
        <w:t xml:space="preserve">		2. המוסד לביטוח לאומי</w:t>
      </w:r>
    </w:p>
    <w:p>
      <w:pPr>
        <w:bidi/>
      </w:pPr>
    </w:p>
    <w:p>
      <w:pPr>
        <w:bidi/>
        <w:spacing w:after="240" w:before="240"/>
        <w:jc w:val="center"/>
      </w:pPr>
      <w:r>
        <w:rPr>
          <w:rFonts w:ascii="David" w:cs="David" w:eastAsia="David" w:hAnsi="David"/>
          <w:b/>
          <w:bCs/>
          <w:sz w:val="28"/>
          <w:szCs w:val="28"/>
          <w:u w:val="single"/>
          <w:rtl/>
        </w:rPr>
        <w:t xml:space="preserve">בקשה דחופה למתן הוראות - הסרת עיקול בתיק הוצאה לפועל 542780-03-25</w:t>
      </w:r>
    </w:p>
    <w:p>
      <w:pPr>
        <w:bidi/>
        <w:spacing w:after="120" w:line="360" w:lineRule="auto"/>
        <w:jc w:val="both"/>
      </w:pPr>
      <w:r>
        <w:rPr>
          <w:rFonts w:ascii="David" w:cs="David" w:eastAsia="David" w:hAnsi="David"/>
          <w:sz w:val="24"/>
          <w:szCs w:val="24"/>
          <w:rtl/>
        </w:rPr>
        <w:t xml:space="preserve">בית המשפט הנכבד מתבקש להורות כי עיכוב ההליכים שניתן בהחלטותיו מיום 19.8.2026 ומיום 17.9.2026 חל גם על העיקול שהוטל ביום 14.4.2026 על חשבון הבנק של המבקש, ולהורות על הסרתו ועל שחרור מיידי של כספי המבקש המעוכבים בו.</w:t>
      </w:r>
    </w:p>
    <w:p>
      <w:pPr>
        <w:bidi/>
        <w:spacing w:after="120" w:line="360" w:lineRule="auto"/>
        <w:jc w:val="both"/>
      </w:pPr>
      <w:r>
        <w:rPr>
          <w:rFonts w:ascii="David" w:cs="David" w:eastAsia="David" w:hAnsi="David"/>
          <w:sz w:val="24"/>
          <w:szCs w:val="24"/>
          <w:rtl/>
        </w:rPr>
        <w:t xml:space="preserve">ואלה נימוקי הבקשה:</w:t>
      </w:r>
    </w:p>
    <w:p>
      <w:pPr>
        <w:pStyle w:val="ListParagraph"/>
        <w:numPr>
          <w:ilvl w:val="0"/>
          <w:numId w:val="2"/>
        </w:numPr>
        <w:bidi/>
        <w:spacing w:after="120" w:line="360" w:lineRule="auto"/>
        <w:jc w:val="both"/>
      </w:pPr>
      <w:r>
        <w:rPr>
          <w:rFonts w:ascii="David" w:cs="David" w:eastAsia="David" w:hAnsi="David"/>
          <w:sz w:val="24"/>
          <w:szCs w:val="24"/>
          <w:rtl/>
        </w:rPr>
        <w:t xml:space="preserve">פסק הדין מיום 24.12.2023, שעל בסיסו נפתח תיק ההוצאה לפועל, בוטל ביום 12.5.2026.</w:t>
      </w:r>
    </w:p>
    <w:p>
      <w:pPr>
        <w:pStyle w:val="ListParagraph"/>
        <w:numPr>
          <w:ilvl w:val="0"/>
          <w:numId w:val="2"/>
        </w:numPr>
        <w:bidi/>
        <w:spacing w:after="120" w:line="360" w:lineRule="auto"/>
        <w:jc w:val="both"/>
      </w:pPr>
      <w:r>
        <w:rPr>
          <w:rFonts w:ascii="David" w:cs="David" w:eastAsia="David" w:hAnsi="David"/>
          <w:sz w:val="24"/>
          <w:szCs w:val="24"/>
          <w:rtl/>
        </w:rPr>
        <w:t xml:space="preserve">ביום 14.4.2026 הוטל בתיק עיקול לשלושה חודשים על חשבון הבנק של המבקש בבנק הפועלים, סניף 652, חשבון מס' 456899. זהו חשבונו היחיד של המבקש, ואליו נכנסת משכורתו.</w:t>
      </w:r>
    </w:p>
    <w:p>
      <w:pPr>
        <w:pStyle w:val="ListParagraph"/>
        <w:numPr>
          <w:ilvl w:val="0"/>
          <w:numId w:val="2"/>
        </w:numPr>
        <w:bidi/>
        <w:spacing w:after="120" w:line="360" w:lineRule="auto"/>
        <w:jc w:val="both"/>
      </w:pPr>
      <w:r>
        <w:rPr>
          <w:rFonts w:ascii="David" w:cs="David" w:eastAsia="David" w:hAnsi="David"/>
          <w:sz w:val="24"/>
          <w:szCs w:val="24"/>
          <w:rtl/>
        </w:rPr>
        <w:t xml:space="preserve">תקופת העיקול הסתיימה ביום 14.7.2026, והעיקול לא חודש. אף על פי כן החשבון מוקפא עד היום: סך של 8,685 ₪ מעוכב בו, וגם המשכורות שנכנסות לחשבון מוקפאות.</w:t>
      </w:r>
    </w:p>
    <w:p>
      <w:pPr>
        <w:pStyle w:val="ListParagraph"/>
        <w:numPr>
          <w:ilvl w:val="0"/>
          <w:numId w:val="2"/>
        </w:numPr>
        <w:bidi/>
        <w:spacing w:after="120" w:line="360" w:lineRule="auto"/>
        <w:jc w:val="both"/>
      </w:pPr>
      <w:r>
        <w:rPr>
          <w:rFonts w:ascii="David" w:cs="David" w:eastAsia="David" w:hAnsi="David"/>
          <w:sz w:val="24"/>
          <w:szCs w:val="24"/>
          <w:rtl/>
        </w:rPr>
        <w:t xml:space="preserve">ביום 19.8.2026 וביום 17.9.2026 הורה בית המשפט הנכבד על עיכוב ההליכים בתיק.</w:t>
      </w:r>
    </w:p>
    <w:p>
      <w:pPr>
        <w:pStyle w:val="ListParagraph"/>
        <w:numPr>
          <w:ilvl w:val="0"/>
          <w:numId w:val="2"/>
        </w:numPr>
        <w:bidi/>
        <w:spacing w:after="120" w:line="360" w:lineRule="auto"/>
        <w:jc w:val="both"/>
      </w:pPr>
      <w:r>
        <w:rPr>
          <w:rFonts w:ascii="David" w:cs="David" w:eastAsia="David" w:hAnsi="David"/>
          <w:sz w:val="24"/>
          <w:szCs w:val="24"/>
          <w:rtl/>
        </w:rPr>
        <w:t xml:space="preserve">ביום 24.9.2026 דחתה כב' הרשמת מרים סגל את בקשת המבקש לביטול ההליכים, קבעה כי ההליכים מעוכבים מכוח החלטות בית המשפט הנכבד, והפנתה את המבקש אליהן (העתק ההחלטה מצורף כנספח א').</w:t>
      </w:r>
    </w:p>
    <w:p>
      <w:pPr>
        <w:pStyle w:val="ListParagraph"/>
        <w:numPr>
          <w:ilvl w:val="0"/>
          <w:numId w:val="2"/>
        </w:numPr>
        <w:bidi/>
        <w:spacing w:after="120" w:line="360" w:lineRule="auto"/>
        <w:jc w:val="both"/>
      </w:pPr>
      <w:r>
        <w:rPr>
          <w:rFonts w:ascii="David" w:cs="David" w:eastAsia="David" w:hAnsi="David"/>
          <w:sz w:val="24"/>
          <w:szCs w:val="24"/>
          <w:rtl/>
        </w:rPr>
        <w:t xml:space="preserve">ראש ההוצאה לפועל רואה עצמו כפוף להחלטות בית המשפט הנכבד ואינו נכון להרחיבן. ההכרעה בגורל העיקול נתונה אפוא לבית המשפט הנכבד בלבד.</w:t>
      </w:r>
    </w:p>
    <w:p>
      <w:pPr>
        <w:pStyle w:val="ListParagraph"/>
        <w:numPr>
          <w:ilvl w:val="0"/>
          <w:numId w:val="2"/>
        </w:numPr>
        <w:bidi/>
        <w:spacing w:after="120" w:line="360" w:lineRule="auto"/>
        <w:jc w:val="both"/>
      </w:pPr>
      <w:r>
        <w:rPr>
          <w:rFonts w:ascii="David" w:cs="David" w:eastAsia="David" w:hAnsi="David"/>
          <w:sz w:val="24"/>
          <w:szCs w:val="24"/>
          <w:rtl/>
        </w:rPr>
        <w:t xml:space="preserve">המבקש נותר ללא יכולת לקיים את עצמו. כל כספיו, לרבות משכורתו השוטפת, מוקפאים, ואין בידו לרכוש מזון, תרופות וצרכים הכרחיים אחרים. הכנסתו החודשית כ-9,000 ₪, הוצאותיו ההכרחיות כ-7,500 ₪, ואין לו מקור מימון אחר. שכר הדירה אינו משולם, הוראות הקבע חוזרות והחובות מצטברים.</w:t>
      </w:r>
    </w:p>
    <w:p>
      <w:pPr>
        <w:pStyle w:val="ListParagraph"/>
        <w:numPr>
          <w:ilvl w:val="0"/>
          <w:numId w:val="2"/>
        </w:numPr>
        <w:bidi/>
        <w:spacing w:after="120" w:line="360" w:lineRule="auto"/>
        <w:jc w:val="both"/>
      </w:pPr>
      <w:r>
        <w:rPr>
          <w:rFonts w:ascii="David" w:cs="David" w:eastAsia="David" w:hAnsi="David"/>
          <w:sz w:val="24"/>
          <w:szCs w:val="24"/>
          <w:rtl/>
        </w:rPr>
        <w:t xml:space="preserve">עיכוב הליכים ללא הסרת העיקול הוא עיכוב ריק מתוכן. ההליכים קפואים, אך כספי המבקש כלואים. המשיב 2 מחזיק בבטוחה מלאה בלי לשאת בנטל כלשהו, והמבקש נושא בכל נזקי ההליך בלי שנקבע כלפיו חוב סופי.</w:t>
      </w:r>
    </w:p>
    <w:p>
      <w:pPr>
        <w:pStyle w:val="ListParagraph"/>
        <w:numPr>
          <w:ilvl w:val="0"/>
          <w:numId w:val="2"/>
        </w:numPr>
        <w:bidi/>
        <w:spacing w:after="120" w:line="360" w:lineRule="auto"/>
        <w:jc w:val="both"/>
      </w:pPr>
      <w:r>
        <w:rPr>
          <w:rFonts w:ascii="David" w:cs="David" w:eastAsia="David" w:hAnsi="David"/>
          <w:sz w:val="24"/>
          <w:szCs w:val="24"/>
          <w:rtl/>
        </w:rPr>
        <w:t xml:space="preserve">הבסיס לעיקול נשמט. פסק הדין שעל בסיסו נפתח התיק בוטל, והתיק נשען כיום על החלטת מזונות זמניים בלבד, שבקשה לביטולה או להפחתתה תלויה ועומדת.</w:t>
      </w:r>
    </w:p>
    <w:p>
      <w:pPr>
        <w:pStyle w:val="ListParagraph"/>
        <w:numPr>
          <w:ilvl w:val="0"/>
          <w:numId w:val="2"/>
        </w:numPr>
        <w:bidi/>
        <w:spacing w:after="120" w:line="360" w:lineRule="auto"/>
        <w:jc w:val="both"/>
      </w:pPr>
      <w:r>
        <w:rPr>
          <w:rFonts w:ascii="David" w:cs="David" w:eastAsia="David" w:hAnsi="David"/>
          <w:sz w:val="24"/>
          <w:szCs w:val="24"/>
          <w:rtl/>
        </w:rPr>
        <w:t xml:space="preserve">העיקול אף מיצה את עצמו. הוא הוטל לשלושה חודשים ולא חודש, והחזקת כספי המבקש מאז 14.7.2026 אינה נשענת על החלטה בתוקף. ככל שייקבע כי העיקול עודנו בתוקף, הרי שהוא חוסה תחת עיכוב ההליכים שהורה עליו בית המשפט הנכבד. בשני המקרים אין הצדקה להמשך הקפאת החשבון.</w:t>
      </w:r>
    </w:p>
    <w:p>
      <w:pPr>
        <w:pStyle w:val="ListParagraph"/>
        <w:numPr>
          <w:ilvl w:val="0"/>
          <w:numId w:val="2"/>
        </w:numPr>
        <w:bidi/>
        <w:spacing w:after="120" w:line="360" w:lineRule="auto"/>
        <w:jc w:val="both"/>
      </w:pPr>
      <w:r>
        <w:rPr>
          <w:rFonts w:ascii="David" w:cs="David" w:eastAsia="David" w:hAnsi="David"/>
          <w:sz w:val="24"/>
          <w:szCs w:val="24"/>
          <w:rtl/>
        </w:rPr>
        <w:t xml:space="preserve">מאזן הנוחות נוטה בבירור לטובת המבקש. המשיב 2 הוא גוף ממלכתי, ואין כל סיכון שזכותו, אם תיקבע, לא תיפרע. מנגד, הנזק למבקש מיידי ובלתי הפיך: אדם שאין בידו לקנות מזון אינו יכול להמתין להכרעה בתיק.</w:t>
      </w:r>
    </w:p>
    <w:p>
      <w:pPr>
        <w:pStyle w:val="ListParagraph"/>
        <w:numPr>
          <w:ilvl w:val="0"/>
          <w:numId w:val="2"/>
        </w:numPr>
        <w:bidi/>
        <w:spacing w:after="120" w:line="360" w:lineRule="auto"/>
        <w:jc w:val="both"/>
      </w:pPr>
      <w:r>
        <w:rPr>
          <w:rFonts w:ascii="David" w:cs="David" w:eastAsia="David" w:hAnsi="David"/>
          <w:sz w:val="24"/>
          <w:szCs w:val="24"/>
          <w:rtl/>
        </w:rPr>
        <w:t xml:space="preserve">ככל שבית המשפט הנכבד יסבור כי נדרשת בטוחה, המבקש מוכן להפקיד ערובה או ערבות בהיקף שייקבע, כנגד שחרור החשבון.</w:t>
      </w:r>
    </w:p>
    <w:p>
      <w:pPr>
        <w:pStyle w:val="ListParagraph"/>
        <w:numPr>
          <w:ilvl w:val="0"/>
          <w:numId w:val="2"/>
        </w:numPr>
        <w:bidi/>
        <w:spacing w:after="120" w:line="360" w:lineRule="auto"/>
        <w:jc w:val="both"/>
      </w:pPr>
      <w:r>
        <w:rPr>
          <w:rFonts w:ascii="David" w:cs="David" w:eastAsia="David" w:hAnsi="David"/>
          <w:sz w:val="24"/>
          <w:szCs w:val="24"/>
          <w:rtl/>
        </w:rPr>
        <w:t xml:space="preserve">לאור האמור, בית המשפט הנכבד מתבקש:</w:t>
      </w:r>
    </w:p>
    <w:p>
      <w:pPr>
        <w:pStyle w:val="ListParagraph"/>
        <w:numPr>
          <w:ilvl w:val="1"/>
          <w:numId w:val="2"/>
        </w:numPr>
        <w:bidi/>
        <w:spacing w:after="120" w:line="360" w:lineRule="auto"/>
        <w:jc w:val="both"/>
      </w:pPr>
      <w:r>
        <w:rPr>
          <w:rFonts w:ascii="David" w:cs="David" w:eastAsia="David" w:hAnsi="David"/>
          <w:sz w:val="24"/>
          <w:szCs w:val="24"/>
          <w:rtl/>
        </w:rPr>
        <w:t xml:space="preserve">להורות כי העיכוב חל גם על העיקול מיום 14.4.2026, ולהורות לראש ההוצאה לפועל ולבנק להסירו ולשחרר לאלתר את כספי המבקש המעוכבים.</w:t>
      </w:r>
    </w:p>
    <w:p>
      <w:pPr>
        <w:pStyle w:val="ListParagraph"/>
        <w:numPr>
          <w:ilvl w:val="1"/>
          <w:numId w:val="2"/>
        </w:numPr>
        <w:bidi/>
        <w:spacing w:after="120" w:line="360" w:lineRule="auto"/>
        <w:jc w:val="both"/>
      </w:pPr>
      <w:r>
        <w:rPr>
          <w:rFonts w:ascii="David" w:cs="David" w:eastAsia="David" w:hAnsi="David"/>
          <w:sz w:val="24"/>
          <w:szCs w:val="24"/>
          <w:rtl/>
        </w:rPr>
        <w:t xml:space="preserve">לחלופין, ועד להכרעה בבקשה, להורות על שחרור מיידי של הכספים המעוכבים לצורכי מחיה הכרחיים של המבקש.</w:t>
      </w:r>
    </w:p>
    <w:p>
      <w:pPr>
        <w:pStyle w:val="ListParagraph"/>
        <w:numPr>
          <w:ilvl w:val="1"/>
          <w:numId w:val="2"/>
        </w:numPr>
        <w:bidi/>
        <w:spacing w:after="120" w:line="360" w:lineRule="auto"/>
        <w:jc w:val="both"/>
      </w:pPr>
      <w:r>
        <w:rPr>
          <w:rFonts w:ascii="David" w:cs="David" w:eastAsia="David" w:hAnsi="David"/>
          <w:sz w:val="24"/>
          <w:szCs w:val="24"/>
          <w:rtl/>
        </w:rPr>
        <w:t xml:space="preserve">לחלופין, להורות על שחרור החשבון כנגד בטוחה חלופית כמפורט בסעיף 12 לעיל.</w:t>
      </w:r>
    </w:p>
    <w:p>
      <w:pPr>
        <w:pStyle w:val="ListParagraph"/>
        <w:numPr>
          <w:ilvl w:val="1"/>
          <w:numId w:val="2"/>
        </w:numPr>
        <w:bidi/>
        <w:spacing w:after="120" w:line="360" w:lineRule="auto"/>
        <w:jc w:val="both"/>
      </w:pPr>
      <w:r>
        <w:rPr>
          <w:rFonts w:ascii="David" w:cs="David" w:eastAsia="David" w:hAnsi="David"/>
          <w:sz w:val="24"/>
          <w:szCs w:val="24"/>
          <w:rtl/>
        </w:rPr>
        <w:t xml:space="preserve">להורות כי בתקופת העיכוב לא יוטלו בתיק עיקולים חדשים.</w:t>
      </w:r>
    </w:p>
    <w:p>
      <w:pPr>
        <w:pStyle w:val="ListParagraph"/>
        <w:numPr>
          <w:ilvl w:val="1"/>
          <w:numId w:val="2"/>
        </w:numPr>
        <w:bidi/>
        <w:spacing w:after="120" w:line="360" w:lineRule="auto"/>
        <w:jc w:val="both"/>
      </w:pPr>
      <w:r>
        <w:rPr>
          <w:rFonts w:ascii="David" w:cs="David" w:eastAsia="David" w:hAnsi="David"/>
          <w:sz w:val="24"/>
          <w:szCs w:val="24"/>
          <w:rtl/>
        </w:rPr>
        <w:t xml:space="preserve">לקבוע מועד קצר של 3 ימים לתגובת המשיבים, נוכח הפגיעה המתמשכת במבקש.</w:t>
      </w:r>
    </w:p>
    <w:p>
      <w:pPr>
        <w:pStyle w:val="ListParagraph"/>
        <w:numPr>
          <w:ilvl w:val="0"/>
          <w:numId w:val="2"/>
        </w:numPr>
        <w:bidi/>
        <w:spacing w:after="120" w:line="360" w:lineRule="auto"/>
        <w:jc w:val="both"/>
      </w:pPr>
      <w:r>
        <w:rPr>
          <w:rFonts w:ascii="David" w:cs="David" w:eastAsia="David" w:hAnsi="David"/>
          <w:sz w:val="24"/>
          <w:szCs w:val="24"/>
          <w:rtl/>
        </w:rPr>
        <w:t xml:space="preserve">הבקשה נתמכת בתצהיר המבקש. מן הדין ומן הצדק להיעתר לה.</w:t>
      </w:r>
    </w:p>
    <w:p>
      <w:pPr>
        <w:bidi/>
      </w:pPr>
    </w:p>
    <w:p>
      <w:pPr>
        <w:bidi/>
        <w:spacing w:before="360"/>
        <w:jc w:val="end"/>
      </w:pPr>
      <w:r>
        <w:rPr>
          <w:rFonts w:ascii="David" w:cs="David" w:eastAsia="David" w:hAnsi="David"/>
          <w:sz w:val="24"/>
          <w:szCs w:val="24"/>
          <w:rtl/>
        </w:rPr>
        <w:t xml:space="preserve">____________________</w:t>
      </w:r>
    </w:p>
    <w:p>
      <w:pPr>
        <w:bidi/>
        <w:jc w:val="end"/>
      </w:pPr>
      <w:r>
        <w:rPr>
          <w:rFonts w:ascii="David" w:cs="David" w:eastAsia="David" w:hAnsi="David"/>
          <w:sz w:val="24"/>
          <w:szCs w:val="24"/>
          <w:rtl/>
        </w:rPr>
        <w:t xml:space="preserve">[שם המבקש]</w:t>
      </w:r>
    </w:p>
    <w:p>
      <w:pPr>
        <w:bidi/>
        <w:spacing w:after="0"/>
        <w:jc w:val="start"/>
      </w:pPr>
      <w:r>
        <w:rPr>
          <w:rFonts w:ascii="David" w:cs="David" w:eastAsia="David" w:hAnsi="David"/>
          <w:sz w:val="24"/>
          <w:szCs w:val="24"/>
          <w:rtl/>
        </w:rPr>
        <w:t xml:space="preserve">תאריך: ____________</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lvl w:ilvl="1" w15:tentative="1">
      <w:start w:val="1"/>
      <w:numFmt w:val="hebrew1"/>
      <w:suff w:val="tab"/>
      <w:lvlText w:val="%2."/>
      <w:lvlJc w:val="start"/>
      <w:pPr>
        <w:ind w:left="1134"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2026-09-27T05:55:12.447Z</dcterms:created>
  <dcterms:modified xsi:type="dcterms:W3CDTF">2026-09-27T05:55:12.447Z</dcterms:modified>
</cp:coreProperties>
</file>

<file path=docProps/custom.xml><?xml version="1.0" encoding="utf-8"?>
<Properties xmlns="http://schemas.openxmlformats.org/officeDocument/2006/custom-properties" xmlns:vt="http://schemas.openxmlformats.org/officeDocument/2006/docPropsVTypes"/>
</file>