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bidi w:val="1"/>
        <w:spacing w:after="40" w:before="0" w:line="240" w:lineRule="auto"/>
        <w:jc w:val="right"/>
      </w:pPr>
      <w:r>
        <w:rPr>
          <w:rFonts w:ascii="David" w:hAnsi="David" w:cs="David"/>
          <w:b/>
          <w:sz w:val="24"/>
          <w:u w:val="single"/>
          <w:rtl w:val="1"/>
          <w:szCs w:val="24"/>
          <w:bCs w:val="1"/>
        </w:rPr>
        <w:t>בבית המשפט לענייני משפחה בחיפה</w:t>
      </w:r>
    </w:p>
    <w:p>
      <w:pPr>
        <w:keepNext w:val="0"/>
        <w:bidi w:val="1"/>
        <w:spacing w:after="40" w:before="0" w:line="240" w:lineRule="auto"/>
        <w:jc w:val="right"/>
      </w:pPr>
      <w:r>
        <w:rPr>
          <w:rFonts w:ascii="David" w:hAnsi="David" w:cs="David"/>
          <w:b/>
          <w:sz w:val="24"/>
          <w:u w:val="none"/>
          <w:rtl w:val="1"/>
          <w:szCs w:val="24"/>
          <w:bCs w:val="1"/>
        </w:rPr>
        <w:t>תלה"מ 61495-10-25</w:t>
      </w:r>
    </w:p>
    <w:p>
      <w:pPr>
        <w:keepNext w:val="0"/>
        <w:bidi w:val="1"/>
        <w:spacing w:after="200" w:before="0" w:line="240" w:lineRule="auto"/>
        <w:jc w:val="right"/>
      </w:pPr>
      <w:r>
        <w:rPr>
          <w:rFonts w:ascii="David" w:hAnsi="David" w:cs="David"/>
          <w:b/>
          <w:sz w:val="24"/>
          <w:u w:val="none"/>
          <w:rtl w:val="1"/>
          <w:szCs w:val="24"/>
          <w:bCs w:val="1"/>
        </w:rPr>
        <w:t>בפני כב' השופטת הילה גורביץ עובדיה</w:t>
      </w:r>
    </w:p>
    <w:p>
      <w:pPr>
        <w:keepNext w:val="0"/>
        <w:bidi w:val="1"/>
        <w:spacing w:after="120" w:before="0" w:line="240" w:lineRule="auto"/>
        <w:jc w:val="right"/>
      </w:pPr>
      <w:r>
        <w:rPr>
          <w:rFonts w:ascii="David" w:hAnsi="David" w:cs="David"/>
          <w:b/>
          <w:sz w:val="24"/>
          <w:u w:val="single"/>
          <w:rtl w:val="1"/>
          <w:szCs w:val="24"/>
          <w:bCs w:val="1"/>
        </w:rPr>
        <w:t>בעניין:</w:t>
      </w:r>
    </w:p>
    <w:p>
      <w:pPr>
        <w:keepNext w:val="0"/>
        <w:bidi w:val="1"/>
        <w:spacing w:after="40" w:before="0" w:line="240" w:lineRule="auto"/>
        <w:jc w:val="right"/>
      </w:pPr>
      <w:r>
        <w:rPr>
          <w:rFonts w:ascii="David" w:hAnsi="David" w:cs="David"/>
          <w:b/>
          <w:sz w:val="24"/>
          <w:u w:val="single"/>
          <w:rtl w:val="1"/>
          <w:szCs w:val="24"/>
          <w:bCs w:val="1"/>
        </w:rPr>
        <w:t>המבקש:</w:t>
      </w:r>
      <w:r>
        <w:rPr>
          <w:rFonts w:ascii="David" w:hAnsi="David" w:cs="David"/>
          <w:b w:val="0"/>
          <w:sz w:val="24"/>
          <w:u w:val="none"/>
          <w:rtl w:val="1"/>
          <w:szCs w:val="24"/>
        </w:rPr>
        <w:t xml:space="preserve">   </w:t>
      </w:r>
      <w:r>
        <w:rPr>
          <w:rFonts w:ascii="David" w:hAnsi="David" w:cs="David"/>
          <w:b w:val="0"/>
          <w:sz w:val="24"/>
          <w:u w:val="none"/>
          <w:rtl w:val="1"/>
          <w:szCs w:val="24"/>
        </w:rPr>
        <w:t>_______________, ת.ז. _______________</w:t>
      </w:r>
    </w:p>
    <w:p>
      <w:pPr>
        <w:keepNext w:val="0"/>
        <w:bidi w:val="1"/>
        <w:spacing w:after="40" w:before="0" w:line="240" w:lineRule="auto"/>
        <w:ind w:right="1247"/>
        <w:jc w:val="right"/>
      </w:pPr>
      <w:r>
        <w:rPr>
          <w:rFonts w:ascii="David" w:hAnsi="David" w:cs="David"/>
          <w:b w:val="0"/>
          <w:sz w:val="24"/>
          <w:u w:val="none"/>
          <w:rtl w:val="1"/>
          <w:szCs w:val="24"/>
        </w:rPr>
        <w:t>ע"י ב"כ עו"ד _______________</w:t>
      </w:r>
    </w:p>
    <w:p>
      <w:pPr>
        <w:keepNext w:val="0"/>
        <w:bidi w:val="1"/>
        <w:spacing w:after="160" w:before="0" w:line="240" w:lineRule="auto"/>
        <w:ind w:right="1247"/>
        <w:jc w:val="right"/>
      </w:pPr>
      <w:r>
        <w:rPr>
          <w:rFonts w:ascii="David" w:hAnsi="David" w:cs="David"/>
          <w:b w:val="0"/>
          <w:sz w:val="24"/>
          <w:u w:val="none"/>
          <w:rtl w:val="1"/>
          <w:szCs w:val="24"/>
        </w:rPr>
        <w:t>(להלן: "המבקש")</w:t>
      </w:r>
    </w:p>
    <w:p>
      <w:pPr>
        <w:keepNext w:val="0"/>
        <w:bidi w:val="1"/>
        <w:spacing w:after="160" w:before="0" w:line="240" w:lineRule="auto"/>
        <w:jc w:val="center"/>
      </w:pPr>
      <w:r>
        <w:rPr>
          <w:rFonts w:ascii="David" w:hAnsi="David" w:cs="David"/>
          <w:b/>
          <w:sz w:val="24"/>
          <w:u w:val="none"/>
          <w:rtl w:val="1"/>
          <w:szCs w:val="24"/>
          <w:bCs w:val="1"/>
        </w:rPr>
        <w:t>–  נ ג ד  –</w:t>
      </w:r>
    </w:p>
    <w:p>
      <w:pPr>
        <w:keepNext w:val="0"/>
        <w:bidi w:val="1"/>
        <w:spacing w:after="40" w:before="0" w:line="240" w:lineRule="auto"/>
        <w:jc w:val="right"/>
      </w:pPr>
      <w:r>
        <w:rPr>
          <w:rFonts w:ascii="David" w:hAnsi="David" w:cs="David"/>
          <w:b/>
          <w:sz w:val="24"/>
          <w:u w:val="single"/>
          <w:rtl w:val="1"/>
          <w:szCs w:val="24"/>
          <w:bCs w:val="1"/>
        </w:rPr>
        <w:t>המשיבה:</w:t>
      </w:r>
      <w:r>
        <w:rPr>
          <w:rFonts w:ascii="David" w:hAnsi="David" w:cs="David"/>
          <w:b w:val="0"/>
          <w:sz w:val="24"/>
          <w:u w:val="none"/>
          <w:rtl w:val="1"/>
          <w:szCs w:val="24"/>
        </w:rPr>
        <w:t xml:space="preserve">   </w:t>
      </w:r>
      <w:r>
        <w:rPr>
          <w:rFonts w:ascii="David" w:hAnsi="David" w:cs="David"/>
          <w:b w:val="0"/>
          <w:sz w:val="24"/>
          <w:u w:val="none"/>
          <w:rtl w:val="1"/>
          <w:szCs w:val="24"/>
        </w:rPr>
        <w:t>_______________, ת.ז. _______________</w:t>
      </w:r>
    </w:p>
    <w:p>
      <w:pPr>
        <w:keepNext w:val="0"/>
        <w:bidi w:val="1"/>
        <w:spacing w:after="40" w:before="0" w:line="240" w:lineRule="auto"/>
        <w:ind w:right="1247"/>
        <w:jc w:val="right"/>
      </w:pPr>
      <w:r>
        <w:rPr>
          <w:rFonts w:ascii="David" w:hAnsi="David" w:cs="David"/>
          <w:b w:val="0"/>
          <w:sz w:val="24"/>
          <w:u w:val="none"/>
          <w:rtl w:val="1"/>
          <w:szCs w:val="24"/>
        </w:rPr>
        <w:t>ע"י ב"כ עו"ד עופר גזית</w:t>
      </w:r>
    </w:p>
    <w:p>
      <w:pPr>
        <w:keepNext w:val="0"/>
        <w:bidi w:val="1"/>
        <w:spacing w:after="280" w:before="0" w:line="240" w:lineRule="auto"/>
        <w:ind w:right="1247"/>
        <w:jc w:val="right"/>
      </w:pPr>
      <w:r>
        <w:rPr>
          <w:rFonts w:ascii="David" w:hAnsi="David" w:cs="David"/>
          <w:b w:val="0"/>
          <w:sz w:val="24"/>
          <w:u w:val="none"/>
          <w:rtl w:val="1"/>
          <w:szCs w:val="24"/>
        </w:rPr>
        <w:t>(להלן: "המשיבה")</w:t>
      </w:r>
    </w:p>
    <w:p>
      <w:pPr>
        <w:keepNext w:val="0"/>
        <w:bidi w:val="1"/>
        <w:spacing w:after="280" w:before="120" w:line="240" w:lineRule="auto"/>
        <w:jc w:val="center"/>
      </w:pPr>
      <w:r>
        <w:rPr>
          <w:rFonts w:ascii="David" w:hAnsi="David" w:cs="David"/>
          <w:b/>
          <w:sz w:val="30"/>
          <w:u w:val="single"/>
          <w:rtl w:val="1"/>
          <w:szCs w:val="30"/>
          <w:bCs w:val="1"/>
        </w:rPr>
        <w:t>תגובת המשיבה לבקשה הדחופה למתן הוראות (בקשה 11)</w:t>
      </w:r>
    </w:p>
    <w:p>
      <w:pPr>
        <w:keepNext w:val="0"/>
        <w:bidi w:val="1"/>
        <w:spacing w:after="160" w:before="0" w:line="360" w:lineRule="auto"/>
        <w:jc w:val="both"/>
      </w:pPr>
      <w:r>
        <w:rPr>
          <w:rFonts w:ascii="David" w:hAnsi="David" w:cs="David"/>
          <w:b w:val="0"/>
          <w:sz w:val="24"/>
          <w:u w:val="none"/>
          <w:rtl w:val="1"/>
          <w:szCs w:val="24"/>
        </w:rPr>
        <w:t>בהתאם להחלטת בית המשפט הנכבד מיום 13.8.2026, מתכבדת המשיבה להגיש את תגובתה לבקשת המבקש מיום 12.8.2026, אשר הוכתרה על ידו כ"בקשה דחופה למתן הוראות" (להלן: "הבקשה"). בית המשפט הנכבד מתבקש בזאת לדחות את הבקשה על כל סעדיה, ולהורות כדלקמן:</w:t>
      </w:r>
    </w:p>
    <w:p>
      <w:pPr>
        <w:bidi w:val="1"/>
        <w:spacing w:after="80" w:line="360" w:lineRule="auto"/>
        <w:ind w:right="510" w:hanging="510"/>
        <w:jc w:val="both"/>
      </w:pPr>
      <w:r>
        <w:rPr>
          <w:rFonts w:ascii="David" w:hAnsi="David" w:cs="David"/>
          <w:b w:val="0"/>
          <w:sz w:val="24"/>
          <w:u w:val="none"/>
          <w:rtl w:val="1"/>
          <w:szCs w:val="24"/>
        </w:rPr>
        <w:t>א.</w:t>
        <w:tab/>
      </w:r>
      <w:r>
        <w:rPr>
          <w:rFonts w:ascii="David" w:hAnsi="David" w:cs="David"/>
          <w:b w:val="0"/>
          <w:sz w:val="24"/>
          <w:u w:val="none"/>
          <w:rtl w:val="1"/>
          <w:szCs w:val="24"/>
        </w:rPr>
        <w:t>לדחות את הבקשה לחייב את המשיבה להתייצב למפגשים אצל הגב' ענבל קיבנסון בר און, ולהורות על בחינה מחודשת של זהות הגורם המטפל, נוכח היעדר האובייקטיביות והפגיעה באמון שנוצרה במפגש עמה.</w:t>
      </w:r>
    </w:p>
    <w:p>
      <w:pPr>
        <w:bidi w:val="1"/>
        <w:spacing w:after="80" w:line="360" w:lineRule="auto"/>
        <w:ind w:right="510" w:hanging="510"/>
        <w:jc w:val="both"/>
      </w:pPr>
      <w:r>
        <w:rPr>
          <w:rFonts w:ascii="David" w:hAnsi="David" w:cs="David"/>
          <w:b w:val="0"/>
          <w:sz w:val="24"/>
          <w:u w:val="none"/>
          <w:rtl w:val="1"/>
          <w:szCs w:val="24"/>
        </w:rPr>
        <w:t>ב.</w:t>
        <w:tab/>
      </w:r>
      <w:r>
        <w:rPr>
          <w:rFonts w:ascii="David" w:hAnsi="David" w:cs="David"/>
          <w:b w:val="0"/>
          <w:sz w:val="24"/>
          <w:u w:val="none"/>
          <w:rtl w:val="1"/>
          <w:szCs w:val="24"/>
        </w:rPr>
        <w:t>לדחות על הסף את הבקשה להורות לגב' קיבנסון בר און להעביר לבית המשפט הנכבד "דו"ח עדכני חסוי (לעיני בית המשפט בלבד)".</w:t>
      </w:r>
    </w:p>
    <w:p>
      <w:pPr>
        <w:bidi w:val="1"/>
        <w:spacing w:after="80" w:line="360" w:lineRule="auto"/>
        <w:ind w:right="510" w:hanging="510"/>
        <w:jc w:val="both"/>
      </w:pPr>
      <w:r>
        <w:rPr>
          <w:rFonts w:ascii="David" w:hAnsi="David" w:cs="David"/>
          <w:b w:val="0"/>
          <w:sz w:val="24"/>
          <w:u w:val="none"/>
          <w:rtl w:val="1"/>
          <w:szCs w:val="24"/>
        </w:rPr>
        <w:t>ג.</w:t>
        <w:tab/>
      </w:r>
      <w:r>
        <w:rPr>
          <w:rFonts w:ascii="David" w:hAnsi="David" w:cs="David"/>
          <w:b w:val="0"/>
          <w:sz w:val="24"/>
          <w:u w:val="none"/>
          <w:rtl w:val="1"/>
          <w:szCs w:val="24"/>
        </w:rPr>
        <w:t>לקבוע הסדרי שהות וחלוקת שבתות ברורה, מוגדרת ומחייבת, ולאסור על מי מן הצדדים לקבוע לקטינים תוכניות המקבילות לזמני השהות של משנהו.</w:t>
      </w:r>
    </w:p>
    <w:p>
      <w:pPr>
        <w:bidi w:val="1"/>
        <w:spacing w:after="80" w:line="360" w:lineRule="auto"/>
        <w:ind w:right="510" w:hanging="510"/>
        <w:jc w:val="both"/>
      </w:pPr>
      <w:r>
        <w:rPr>
          <w:rFonts w:ascii="David" w:hAnsi="David" w:cs="David"/>
          <w:b w:val="0"/>
          <w:sz w:val="24"/>
          <w:u w:val="none"/>
          <w:rtl w:val="1"/>
          <w:szCs w:val="24"/>
        </w:rPr>
        <w:t>ד.</w:t>
        <w:tab/>
      </w:r>
      <w:r>
        <w:rPr>
          <w:rFonts w:ascii="David" w:hAnsi="David" w:cs="David"/>
          <w:b w:val="0"/>
          <w:sz w:val="24"/>
          <w:u w:val="none"/>
          <w:rtl w:val="1"/>
          <w:szCs w:val="24"/>
        </w:rPr>
        <w:t>לחייב את המבקש בהוצאות התגובה דנא.</w:t>
      </w:r>
    </w:p>
    <w:p>
      <w:pPr>
        <w:keepNext w:val="0"/>
        <w:bidi w:val="1"/>
        <w:spacing w:after="120" w:before="200" w:line="360" w:lineRule="auto"/>
        <w:jc w:val="right"/>
      </w:pPr>
      <w:r>
        <w:rPr>
          <w:rFonts w:ascii="David" w:hAnsi="David" w:cs="David"/>
          <w:b/>
          <w:sz w:val="24"/>
          <w:u w:val="single"/>
          <w:rtl w:val="1"/>
          <w:szCs w:val="24"/>
          <w:bCs w:val="1"/>
        </w:rPr>
        <w:t>ואלו נימוקי התגובה:</w:t>
      </w:r>
    </w:p>
    <w:p>
      <w:pPr>
        <w:keepNext/>
        <w:bidi w:val="1"/>
        <w:spacing w:after="120" w:before="240" w:line="360" w:lineRule="auto"/>
        <w:jc w:val="right"/>
      </w:pPr>
      <w:r>
        <w:rPr>
          <w:rFonts w:ascii="David" w:hAnsi="David" w:cs="David"/>
          <w:b/>
          <w:sz w:val="24"/>
          <w:u w:val="single"/>
          <w:rtl w:val="1"/>
          <w:szCs w:val="24"/>
          <w:bCs w:val="1"/>
        </w:rPr>
        <w:t>פתח דבר</w:t>
      </w:r>
    </w:p>
    <w:p>
      <w:pPr>
        <w:bidi w:val="1"/>
        <w:spacing w:after="80" w:line="360" w:lineRule="auto"/>
        <w:ind w:right="510" w:hanging="510"/>
        <w:jc w:val="both"/>
      </w:pPr>
      <w:r>
        <w:rPr>
          <w:rFonts w:ascii="David" w:hAnsi="David" w:cs="David"/>
          <w:b w:val="0"/>
          <w:sz w:val="24"/>
          <w:u w:val="none"/>
          <w:rtl w:val="1"/>
          <w:szCs w:val="24"/>
        </w:rPr>
        <w:t>1.</w:t>
        <w:tab/>
      </w:r>
      <w:r>
        <w:rPr>
          <w:rFonts w:ascii="David" w:hAnsi="David" w:cs="David"/>
          <w:b w:val="0"/>
          <w:sz w:val="24"/>
          <w:u w:val="none"/>
          <w:rtl w:val="1"/>
          <w:szCs w:val="24"/>
        </w:rPr>
        <w:t>מכף רגל ועד ראש, הבקשה דנא כולה פצע וחבורה ומכה טריה ואין בה מתום. תחת כותרת תמימה של "מתן הוראות" מבקש המבקש שלושה דברים שאין ליתנם: לכפות על אם, בצו שיפוטי, ברית טיפולית שנשברה כבר במפגש הראשון; להמיר מטפלת שנבחרה בהסכמה ל"מומחית" מטעם בית המשפט, ולחלץ מפיה דו"ח חסוי שהמשיבה לא תראה, לא תשיב עליו ולא תחקור עליו; ולהציג את עצמו כמי שנפגעו הסדרי השהות שלו, שעה שהוא-הוא המסכל אותם הלכה למעשה.</w:t>
      </w:r>
    </w:p>
    <w:p>
      <w:pPr>
        <w:bidi w:val="1"/>
        <w:spacing w:after="80" w:line="360" w:lineRule="auto"/>
        <w:ind w:right="510" w:hanging="510"/>
        <w:jc w:val="both"/>
      </w:pPr>
      <w:r>
        <w:rPr>
          <w:rFonts w:ascii="David" w:hAnsi="David" w:cs="David"/>
          <w:b w:val="0"/>
          <w:sz w:val="24"/>
          <w:u w:val="none"/>
          <w:rtl w:val="1"/>
          <w:szCs w:val="24"/>
        </w:rPr>
        <w:t>2.</w:t>
        <w:tab/>
      </w:r>
      <w:r>
        <w:rPr>
          <w:rFonts w:ascii="David" w:hAnsi="David" w:cs="David"/>
          <w:b w:val="0"/>
          <w:sz w:val="24"/>
          <w:u w:val="none"/>
          <w:rtl w:val="1"/>
          <w:szCs w:val="24"/>
        </w:rPr>
        <w:t>ודוק; אין הבקשה דנא אלא נדבך נוסף בשרשרת של הליכי סרק, המוגשים בזה אחר זה, ואשר תכליתם האמיתית אחת היא — הכפשת תפקודה של המשיבה כאם. הא ותו לא.</w:t>
      </w:r>
    </w:p>
    <w:p>
      <w:pPr>
        <w:bidi w:val="1"/>
        <w:spacing w:after="80" w:line="360" w:lineRule="auto"/>
        <w:ind w:right="510" w:hanging="510"/>
        <w:jc w:val="both"/>
      </w:pPr>
      <w:r>
        <w:rPr>
          <w:rFonts w:ascii="David" w:hAnsi="David" w:cs="David"/>
          <w:b w:val="0"/>
          <w:sz w:val="24"/>
          <w:u w:val="none"/>
          <w:rtl w:val="1"/>
          <w:szCs w:val="24"/>
        </w:rPr>
        <w:t>3.</w:t>
        <w:tab/>
      </w:r>
      <w:r>
        <w:rPr>
          <w:rFonts w:ascii="David" w:hAnsi="David" w:cs="David"/>
          <w:b w:val="0"/>
          <w:sz w:val="24"/>
          <w:u w:val="none"/>
          <w:rtl w:val="1"/>
          <w:szCs w:val="24"/>
        </w:rPr>
        <w:t>ולא למותר לציין כבר עתה, ולו לשם מיצוי התמונה: הבקשה, שהוכתרה כ"דחופה", עניינה באירועים שראשיתם ביום 1.6.2026, והיא הוגשה אך ביום 12.8.2026 — בחלוף למעלה מחודשיים ימים. דחיפות אשר המתינה בסבלנות רבה כל כך, אינה דחיפות כי אם כותרת.</w:t>
      </w:r>
    </w:p>
    <w:p>
      <w:pPr>
        <w:keepNext/>
        <w:bidi w:val="1"/>
        <w:spacing w:after="120" w:before="240" w:line="360" w:lineRule="auto"/>
        <w:jc w:val="right"/>
      </w:pPr>
      <w:r>
        <w:rPr>
          <w:rFonts w:ascii="David" w:hAnsi="David" w:cs="David"/>
          <w:b/>
          <w:sz w:val="24"/>
          <w:u w:val="single"/>
          <w:rtl w:val="1"/>
          <w:szCs w:val="24"/>
          <w:bCs w:val="1"/>
        </w:rPr>
        <w:t>רקע — ההסכמות שגובשו ביחידת הסיוע</w:t>
      </w:r>
    </w:p>
    <w:p>
      <w:pPr>
        <w:bidi w:val="1"/>
        <w:spacing w:after="80" w:line="360" w:lineRule="auto"/>
        <w:ind w:right="510" w:hanging="510"/>
        <w:jc w:val="both"/>
      </w:pPr>
      <w:r>
        <w:rPr>
          <w:rFonts w:ascii="David" w:hAnsi="David" w:cs="David"/>
          <w:b w:val="0"/>
          <w:sz w:val="24"/>
          <w:u w:val="none"/>
          <w:rtl w:val="1"/>
          <w:szCs w:val="24"/>
        </w:rPr>
        <w:t>4.</w:t>
        <w:tab/>
      </w:r>
      <w:r>
        <w:rPr>
          <w:rFonts w:ascii="David" w:hAnsi="David" w:cs="David"/>
          <w:b w:val="0"/>
          <w:sz w:val="24"/>
          <w:u w:val="none"/>
          <w:rtl w:val="1"/>
          <w:szCs w:val="24"/>
        </w:rPr>
        <w:t>ביום 1.6.2026 התקיים מפגש ביחידת הסיוע, בנוכחות הצדדים ובאי כוחם. במסגרתו גובשו הסכמות מסגרת בעניין זמני השהות, ובכלל כך הוסכם כי הצדדים יפנו לגב' קיבנסון בר און ויחלו אצלה ב"טיפול משפחתי אינטגרטיבי הכולל הדרכת הורים משותפת לצדדים ומפגשים של הצדדים עם הילדים", וכי יישאו בעלות הטיפולים בחלקים שווים (ר' סעיפים 2(ד) ו-2(ה) לבקשה).</w:t>
      </w:r>
    </w:p>
    <w:p>
      <w:pPr>
        <w:bidi w:val="1"/>
        <w:spacing w:after="80" w:line="360" w:lineRule="auto"/>
        <w:ind w:right="510" w:hanging="510"/>
        <w:jc w:val="both"/>
      </w:pPr>
      <w:r>
        <w:rPr>
          <w:rFonts w:ascii="David" w:hAnsi="David" w:cs="David"/>
          <w:b w:val="0"/>
          <w:sz w:val="24"/>
          <w:u w:val="none"/>
          <w:rtl w:val="1"/>
          <w:szCs w:val="24"/>
        </w:rPr>
        <w:t>5.</w:t>
        <w:tab/>
      </w:r>
      <w:r>
        <w:rPr>
          <w:rFonts w:ascii="David" w:hAnsi="David" w:cs="David"/>
          <w:b w:val="0"/>
          <w:sz w:val="24"/>
          <w:u w:val="none"/>
          <w:rtl w:val="1"/>
          <w:szCs w:val="24"/>
        </w:rPr>
        <w:t>ודוק; ההסכמה הייתה לפנות למטפלת ולפתוח בהליך טיפולי — ולא ליטול על המשיבה התחייבות בלתי מסויגת, בלתי מוגבלת בזמן ובלתי מוגבלת בהיקף, להתייצב אצל גורם מסוים יהא אשר יתרחש בחדר הטיפולים אשר יהא. הסכמה לפתוח בטיפול אינה שטר חוב פתוח, ואינה כובלת הורה לגורם שנמצא, הלכה למעשה, בלתי מתאים.</w:t>
      </w:r>
    </w:p>
    <w:p>
      <w:pPr>
        <w:keepNext/>
        <w:bidi w:val="1"/>
        <w:spacing w:after="120" w:before="240" w:line="360" w:lineRule="auto"/>
        <w:jc w:val="right"/>
      </w:pPr>
      <w:r>
        <w:rPr>
          <w:rFonts w:ascii="David" w:hAnsi="David" w:cs="David"/>
          <w:b/>
          <w:sz w:val="24"/>
          <w:u w:val="single"/>
          <w:rtl w:val="1"/>
          <w:szCs w:val="24"/>
          <w:bCs w:val="1"/>
        </w:rPr>
        <w:t>המפגש אצל הגב' קיבנסון בר און — כשל היורד לשורש המרחב הטיפולי</w:t>
      </w:r>
    </w:p>
    <w:p>
      <w:pPr>
        <w:bidi w:val="1"/>
        <w:spacing w:after="80" w:line="360" w:lineRule="auto"/>
        <w:ind w:right="510" w:hanging="510"/>
        <w:jc w:val="both"/>
      </w:pPr>
      <w:r>
        <w:rPr>
          <w:rFonts w:ascii="David" w:hAnsi="David" w:cs="David"/>
          <w:b w:val="0"/>
          <w:sz w:val="24"/>
          <w:u w:val="none"/>
          <w:rtl w:val="1"/>
          <w:szCs w:val="24"/>
        </w:rPr>
        <w:t>6.</w:t>
        <w:tab/>
      </w:r>
      <w:r>
        <w:rPr>
          <w:rFonts w:ascii="David" w:hAnsi="David" w:cs="David"/>
          <w:b w:val="0"/>
          <w:sz w:val="24"/>
          <w:u w:val="none"/>
          <w:rtl w:val="1"/>
          <w:szCs w:val="24"/>
        </w:rPr>
        <w:t>והנה, המבקש עצמו הוא הפורש בפני בית המשפט הנכבד את התמונה כולה. בסעיף 4 לבקשה מודה המבקש מפורשות, ומפיו אנו חיים, כי נפגש עם הגב' קיבנסון בר און "מפגש ראשון לבד, מפגש שני עם הקטינים ומפגש שלישי בנוכחות המשיבה".</w:t>
      </w:r>
    </w:p>
    <w:p>
      <w:pPr>
        <w:bidi w:val="1"/>
        <w:spacing w:after="80" w:line="360" w:lineRule="auto"/>
        <w:ind w:right="510" w:hanging="510"/>
        <w:jc w:val="both"/>
      </w:pPr>
      <w:r>
        <w:rPr>
          <w:rFonts w:ascii="David" w:hAnsi="David" w:cs="David"/>
          <w:b w:val="0"/>
          <w:sz w:val="24"/>
          <w:u w:val="none"/>
          <w:rtl w:val="1"/>
          <w:szCs w:val="24"/>
        </w:rPr>
        <w:t>7.</w:t>
        <w:tab/>
      </w:r>
      <w:r>
        <w:rPr>
          <w:rFonts w:ascii="David" w:hAnsi="David" w:cs="David"/>
          <w:b w:val="0"/>
          <w:sz w:val="24"/>
          <w:u w:val="none"/>
          <w:rtl w:val="1"/>
          <w:szCs w:val="24"/>
        </w:rPr>
        <w:t>ודוק; עד שהובאה המשיבה בשערי החדר, כבר קיימה הגב' קיבנסון בר און מפגש אישי עם המבקש לבדו, וכבר פגשה את הקטינים שלא בנוכחות אמם. הנה כי כן, התמונה הטיפולית כולה עוצבה בהיעדרה של המשיבה ועל בסיס גרסה אחת ויחידה, ורק משנתגבשה — הוזמנה המשיבה ליטול בה חלק. בהליך שכל תכליתו איזון, ניטרליות ובניית אמון, אין מדובר בפגם טכני כי אם בפגם היורד לשורשו של ההליך כולו.</w:t>
      </w:r>
    </w:p>
    <w:p>
      <w:pPr>
        <w:bidi w:val="1"/>
        <w:spacing w:after="80" w:line="360" w:lineRule="auto"/>
        <w:ind w:right="510" w:hanging="510"/>
        <w:jc w:val="both"/>
      </w:pPr>
      <w:r>
        <w:rPr>
          <w:rFonts w:ascii="David" w:hAnsi="David" w:cs="David"/>
          <w:b w:val="0"/>
          <w:sz w:val="24"/>
          <w:u w:val="none"/>
          <w:rtl w:val="1"/>
          <w:szCs w:val="24"/>
        </w:rPr>
        <w:t>8.</w:t>
        <w:tab/>
      </w:r>
      <w:r>
        <w:rPr>
          <w:rFonts w:ascii="David" w:hAnsi="David" w:cs="David"/>
          <w:b w:val="0"/>
          <w:sz w:val="24"/>
          <w:u w:val="none"/>
          <w:rtl w:val="1"/>
          <w:szCs w:val="24"/>
        </w:rPr>
        <w:t>התוצאה לא איחרה לבוא. במפגש שנערך בנוכחות המשיבה נפגעה זו קשות מהתנהלות בלתי מקצועית לחלוטין. תחת יצירת מרחב טיפולי בטוח ומאזן, זכתה המשיבה ליחס מעליב ושיפוטי ולהטחת האשמות פוגעניות. כך, ובכלל כך, משעשתה המשיבה שימוש במונח "התובע" — מונח דיוני מובהק, המתחייב מן ההליך דנא ומן ההתנהלות מול הערכאות — הוטח בפניה כי היא "אלימה".</w:t>
      </w:r>
    </w:p>
    <w:p>
      <w:pPr>
        <w:bidi w:val="1"/>
        <w:spacing w:after="80" w:line="360" w:lineRule="auto"/>
        <w:ind w:right="510" w:hanging="510"/>
        <w:jc w:val="both"/>
      </w:pPr>
      <w:r>
        <w:rPr>
          <w:rFonts w:ascii="David" w:hAnsi="David" w:cs="David"/>
          <w:b w:val="0"/>
          <w:sz w:val="24"/>
          <w:u w:val="none"/>
          <w:rtl w:val="1"/>
          <w:szCs w:val="24"/>
        </w:rPr>
        <w:t>9.</w:t>
        <w:tab/>
      </w:r>
      <w:r>
        <w:rPr>
          <w:rFonts w:ascii="David" w:hAnsi="David" w:cs="David"/>
          <w:b w:val="0"/>
          <w:sz w:val="24"/>
          <w:u w:val="none"/>
          <w:rtl w:val="1"/>
          <w:szCs w:val="24"/>
        </w:rPr>
        <w:t>ודוק; מקום שבו עצם השימוש בשפה המשפטית שההליך עצמו כופה על בעל דין נזקף לחובתו ומתורגם ל"אלימות", לא ניתן עוד לדבר על מרחב טיפולי. התנהלות זו אינה עולה בקנה אחד עם הסטנדרט המקצועי המצופה מגורם מטפל, והיא מכשילה מראש את היכולת להגיע לתיאום הורי עמוק, יסודי ואובייקטיבי — הדרוש כדבעי במורכבות המשפחתית דנא.</w:t>
      </w:r>
    </w:p>
    <w:p>
      <w:pPr>
        <w:bidi w:val="1"/>
        <w:spacing w:after="80" w:line="360" w:lineRule="auto"/>
        <w:ind w:right="510" w:hanging="510"/>
        <w:jc w:val="both"/>
      </w:pPr>
      <w:r>
        <w:rPr>
          <w:rFonts w:ascii="David" w:hAnsi="David" w:cs="David"/>
          <w:b w:val="0"/>
          <w:sz w:val="24"/>
          <w:u w:val="none"/>
          <w:rtl w:val="1"/>
          <w:szCs w:val="24"/>
        </w:rPr>
        <w:t>10.</w:t>
        <w:tab/>
      </w:r>
      <w:r>
        <w:rPr>
          <w:rFonts w:ascii="David" w:hAnsi="David" w:cs="David"/>
          <w:b w:val="0"/>
          <w:sz w:val="24"/>
          <w:u w:val="none"/>
          <w:rtl w:val="1"/>
          <w:szCs w:val="24"/>
        </w:rPr>
        <w:t>ומאליו מובן: אמון, משנשבר, אינו מושב על כנו בכוחו של צו. הליך טיפולי הנכפה בכפייה אינו הליך טיפולי כי אם מופע ריק מתוכן — ובנסיבות דנא, מופע שמחירו ישולם בידי הקטינים. הסעד שיש בו כדי לרפא את הפגם אינו חיוב המשיבה להתייצב, כי אם בחינה מחודשת של זהות הגורם המטפל.</w:t>
      </w:r>
    </w:p>
    <w:p>
      <w:pPr>
        <w:keepNext/>
        <w:bidi w:val="1"/>
        <w:spacing w:after="120" w:before="240" w:line="360" w:lineRule="auto"/>
        <w:jc w:val="right"/>
      </w:pPr>
      <w:r>
        <w:rPr>
          <w:rFonts w:ascii="David" w:hAnsi="David" w:cs="David"/>
          <w:b/>
          <w:sz w:val="24"/>
          <w:u w:val="single"/>
          <w:rtl w:val="1"/>
          <w:szCs w:val="24"/>
          <w:bCs w:val="1"/>
        </w:rPr>
        <w:t>"דו"ח עדכני חסוי (לעיני בית המשפט בלבד)" — סעד שאין ליתנו</w:t>
      </w:r>
    </w:p>
    <w:p>
      <w:pPr>
        <w:bidi w:val="1"/>
        <w:spacing w:after="80" w:line="360" w:lineRule="auto"/>
        <w:ind w:right="510" w:hanging="510"/>
        <w:jc w:val="both"/>
      </w:pPr>
      <w:r>
        <w:rPr>
          <w:rFonts w:ascii="David" w:hAnsi="David" w:cs="David"/>
          <w:b w:val="0"/>
          <w:sz w:val="24"/>
          <w:u w:val="none"/>
          <w:rtl w:val="1"/>
          <w:szCs w:val="24"/>
        </w:rPr>
        <w:t>11.</w:t>
        <w:tab/>
      </w:r>
      <w:r>
        <w:rPr>
          <w:rFonts w:ascii="David" w:hAnsi="David" w:cs="David"/>
          <w:b w:val="0"/>
          <w:sz w:val="24"/>
          <w:u w:val="none"/>
          <w:rtl w:val="1"/>
          <w:szCs w:val="24"/>
        </w:rPr>
        <w:t>הסעד השני המבוקש בבקשה הוא החמור שבהם, ודינו להידחות על הסף. ודוק; הגב' קיבנסון בר און לא מונתה מעולם כמומחית מטעם בית המשפט הנכבד, ולא ניתן לה מעולם מנדט כלשהו. ההסכמה שגובשה ביחידת הסיוע — כלשונו של המבקש עצמו — הייתה לפנות אליה לשם "טיפול משפחתי אינטגרטיבי". טיפול, ולא חוות דעת. ההמרה שמבצע המבקש בבקשתו, המכתירה לכל אורכה את המטפלת בכתר של "המומחית" ומבקשת לחלץ מפיה דיווח לבית המשפט, אינה אלא ניסיון קלוקל להשיג בדלת האחורית חוות דעת מומחה — בלי מינוי, בלי מנדט מוגדר, בלי זכות עיון ובלי זכות חקירה.</w:t>
      </w:r>
    </w:p>
    <w:p>
      <w:pPr>
        <w:bidi w:val="1"/>
        <w:spacing w:after="80" w:line="360" w:lineRule="auto"/>
        <w:ind w:right="510" w:hanging="510"/>
        <w:jc w:val="both"/>
      </w:pPr>
      <w:r>
        <w:rPr>
          <w:rFonts w:ascii="David" w:hAnsi="David" w:cs="David"/>
          <w:b w:val="0"/>
          <w:sz w:val="24"/>
          <w:u w:val="none"/>
          <w:rtl w:val="1"/>
          <w:szCs w:val="24"/>
        </w:rPr>
        <w:t>12.</w:t>
        <w:tab/>
      </w:r>
      <w:r>
        <w:rPr>
          <w:rFonts w:ascii="David" w:hAnsi="David" w:cs="David"/>
          <w:b w:val="0"/>
          <w:sz w:val="24"/>
          <w:u w:val="none"/>
          <w:rtl w:val="1"/>
          <w:szCs w:val="24"/>
        </w:rPr>
        <w:t>מבלי לגרוע מן האמור, הסעד המבוקש מתנגש חזיתית בחיסיון המוקנה למטופל. סעיף 50א לפקודת הראיות [נוסח חדש], התשל"א-1971, מגן על דברים שנמסרו לפסיכולוג במהלך הטיפול; חובת סודיות מקבילה מוטלת על עובד סוציאלי מכוח חוק העובדים הסוציאליים, התשנ"ו-1996. והנה, הגב' קיבנסון בר און מתוארת בבקשה עצמה כ"עובדת סוציאלית קלינית ופסיכותרפיסטית" — ובאותה נשימה ממש מתבקשת להעביר לבית המשפט דיווח על תוכנם של המפגשים.</w:t>
      </w:r>
    </w:p>
    <w:p>
      <w:pPr>
        <w:bidi w:val="1"/>
        <w:spacing w:after="80" w:line="360" w:lineRule="auto"/>
        <w:ind w:right="510" w:hanging="510"/>
        <w:jc w:val="both"/>
      </w:pPr>
      <w:r>
        <w:rPr>
          <w:rFonts w:ascii="David" w:hAnsi="David" w:cs="David"/>
          <w:b w:val="0"/>
          <w:sz w:val="24"/>
          <w:u w:val="none"/>
          <w:rtl w:val="1"/>
          <w:szCs w:val="24"/>
        </w:rPr>
        <w:t>13.</w:t>
        <w:tab/>
      </w:r>
      <w:r>
        <w:rPr>
          <w:rFonts w:ascii="David" w:hAnsi="David" w:cs="David"/>
          <w:b w:val="0"/>
          <w:sz w:val="24"/>
          <w:u w:val="none"/>
          <w:rtl w:val="1"/>
          <w:szCs w:val="24"/>
        </w:rPr>
        <w:t>יתרה מכך: דו"ח שיוגש "לעיני בית המשפט בלבד" הוא דו"ח שהמשיבה לא תראה, לא תוכל להתייחס אליו ולא תוכל לחקור עליו. בכך מבקש המבקש להעמיד את המשיבה במצב שבו תוכרענה שאלות הנוגעות לה — ובראש ובראשונה לקטינים — על יסוד חומר החסוי מפניה. אין זו דרכו של הליך הוגן, ואין זו הדרך שבה מתקבלות הכרעות בעניינם של קטינים.</w:t>
      </w:r>
    </w:p>
    <w:p>
      <w:pPr>
        <w:bidi w:val="1"/>
        <w:spacing w:after="80" w:line="360" w:lineRule="auto"/>
        <w:ind w:right="510" w:hanging="510"/>
        <w:jc w:val="both"/>
      </w:pPr>
      <w:r>
        <w:rPr>
          <w:rFonts w:ascii="David" w:hAnsi="David" w:cs="David"/>
          <w:b w:val="0"/>
          <w:sz w:val="24"/>
          <w:u w:val="none"/>
          <w:rtl w:val="1"/>
          <w:szCs w:val="24"/>
        </w:rPr>
        <w:t>14.</w:t>
        <w:tab/>
      </w:r>
      <w:r>
        <w:rPr>
          <w:rFonts w:ascii="David" w:hAnsi="David" w:cs="David"/>
          <w:b w:val="0"/>
          <w:sz w:val="24"/>
          <w:u w:val="none"/>
          <w:rtl w:val="1"/>
          <w:szCs w:val="24"/>
        </w:rPr>
        <w:t>ומעל לכל: עצם ידיעתו של מטופל כי הדברים הנאמרים בחדר הטיפולים עתידים להגיע לשולחנו של בית המשפט — היא כשלעצמה סופו של הטיפול. הנה כי כן, בעצם הגשת הבקשה דנא הביא המבקש לכך שממילא לא נותר עוד מרחב טיפולי חסוי, ומכאן שהבקשה חותרת תחת התכלית שהיא מתיימרת לקדם.</w:t>
      </w:r>
    </w:p>
    <w:p>
      <w:pPr>
        <w:keepNext/>
        <w:bidi w:val="1"/>
        <w:spacing w:after="120" w:before="240" w:line="360" w:lineRule="auto"/>
        <w:jc w:val="right"/>
      </w:pPr>
      <w:r>
        <w:rPr>
          <w:rFonts w:ascii="David" w:hAnsi="David" w:cs="David"/>
          <w:b/>
          <w:sz w:val="24"/>
          <w:u w:val="single"/>
          <w:rtl w:val="1"/>
          <w:szCs w:val="24"/>
          <w:bCs w:val="1"/>
        </w:rPr>
        <w:t>זמני השהות — היפוך היוצרות ופגיעה בטובת הקטינים</w:t>
      </w:r>
    </w:p>
    <w:p>
      <w:pPr>
        <w:bidi w:val="1"/>
        <w:spacing w:after="80" w:line="360" w:lineRule="auto"/>
        <w:ind w:right="510" w:hanging="510"/>
        <w:jc w:val="both"/>
      </w:pPr>
      <w:r>
        <w:rPr>
          <w:rFonts w:ascii="David" w:hAnsi="David" w:cs="David"/>
          <w:b w:val="0"/>
          <w:sz w:val="24"/>
          <w:u w:val="none"/>
          <w:rtl w:val="1"/>
          <w:szCs w:val="24"/>
        </w:rPr>
        <w:t>15.</w:t>
        <w:tab/>
      </w:r>
      <w:r>
        <w:rPr>
          <w:rFonts w:ascii="David" w:hAnsi="David" w:cs="David"/>
          <w:b w:val="0"/>
          <w:sz w:val="24"/>
          <w:u w:val="none"/>
          <w:rtl w:val="1"/>
          <w:szCs w:val="24"/>
        </w:rPr>
        <w:t>בסעיף 7 לבקשה נטען כי המשיבה "אינה עומדת בזמני השהות". הטענה מוכחשת מכל וכל, ולאמיתו של דבר — היוצרות התהפכו.</w:t>
      </w:r>
    </w:p>
    <w:p>
      <w:pPr>
        <w:bidi w:val="1"/>
        <w:spacing w:after="80" w:line="360" w:lineRule="auto"/>
        <w:ind w:right="510" w:hanging="510"/>
        <w:jc w:val="both"/>
      </w:pPr>
      <w:r>
        <w:rPr>
          <w:rFonts w:ascii="David" w:hAnsi="David" w:cs="David"/>
          <w:b w:val="0"/>
          <w:sz w:val="24"/>
          <w:u w:val="none"/>
          <w:rtl w:val="1"/>
          <w:szCs w:val="24"/>
        </w:rPr>
        <w:t>16.</w:t>
        <w:tab/>
      </w:r>
      <w:r>
        <w:rPr>
          <w:rFonts w:ascii="David" w:hAnsi="David" w:cs="David"/>
          <w:b w:val="0"/>
          <w:sz w:val="24"/>
          <w:u w:val="none"/>
          <w:rtl w:val="1"/>
          <w:szCs w:val="24"/>
        </w:rPr>
        <w:t>ודוק; המבקש הוא הקובע לקטינים, באופן חד-צדדי, תוכניות המקבילות לזמני השהות של המשיבה. בכך מועמדים הקטינים במצב בלתי אפשרי של "קריעה" בין הוריהם, ונדרשים לבחור ביניהם — קונפליקט נאמנות קשה, שאין קטין אמור לשאתו. משנקבעת לקטין תוכנית מפתה בדיוק בשעה שבה אמור הוא לשהות עם אמו, לא הקטין הוא שהפר את הסדר השהות, ובוודאי שלא המשיבה.</w:t>
      </w:r>
    </w:p>
    <w:p>
      <w:pPr>
        <w:bidi w:val="1"/>
        <w:spacing w:after="80" w:line="360" w:lineRule="auto"/>
        <w:ind w:right="510" w:hanging="510"/>
        <w:jc w:val="both"/>
      </w:pPr>
      <w:r>
        <w:rPr>
          <w:rFonts w:ascii="David" w:hAnsi="David" w:cs="David"/>
          <w:b w:val="0"/>
          <w:sz w:val="24"/>
          <w:u w:val="none"/>
          <w:rtl w:val="1"/>
          <w:szCs w:val="24"/>
        </w:rPr>
        <w:t>17.</w:t>
        <w:tab/>
      </w:r>
      <w:r>
        <w:rPr>
          <w:rFonts w:ascii="David" w:hAnsi="David" w:cs="David"/>
          <w:b w:val="0"/>
          <w:sz w:val="24"/>
          <w:u w:val="none"/>
          <w:rtl w:val="1"/>
          <w:szCs w:val="24"/>
        </w:rPr>
        <w:t>הקטינים עצמם מביעים רצון ברור וחוזר במתכונת שוויונית ומוגדרת של השבתות. הנה כי כן, התרופה לפגם אינה "חיוב" המשיבה כמבוקש, כי אם קביעת מתכונת ברורה, מוגדרת ומחייבת — ובצדה איסור מפורש על קביעת תוכניות מקבילות בזמני השהות של ההורה האחר.</w:t>
      </w:r>
    </w:p>
    <w:p>
      <w:pPr>
        <w:bidi w:val="1"/>
        <w:spacing w:after="80" w:line="360" w:lineRule="auto"/>
        <w:ind w:right="510" w:hanging="510"/>
        <w:jc w:val="both"/>
      </w:pPr>
      <w:r>
        <w:rPr>
          <w:rFonts w:ascii="David" w:hAnsi="David" w:cs="David"/>
          <w:b w:val="0"/>
          <w:sz w:val="24"/>
          <w:u w:val="none"/>
          <w:rtl w:val="1"/>
          <w:szCs w:val="24"/>
        </w:rPr>
        <w:t>18.</w:t>
        <w:tab/>
      </w:r>
      <w:r>
        <w:rPr>
          <w:rFonts w:ascii="David" w:hAnsi="David" w:cs="David"/>
          <w:b w:val="0"/>
          <w:sz w:val="24"/>
          <w:u w:val="none"/>
          <w:rtl w:val="1"/>
          <w:szCs w:val="24"/>
        </w:rPr>
        <w:t>מבלי לגרוע מן האמור, ולחלופין: ככל שההסכמות שגובשו ביחידת הסיוע ביום 1.6.2026 לא קיבלו תוקף של החלטה שיפוטית — הרי שאין בנמצא חיוב בר-אכיפה שהמשיבה "הפרה" אותו, ודין הסעד השלישי להידחות אף מטעם זה.</w:t>
      </w:r>
    </w:p>
    <w:p>
      <w:pPr>
        <w:keepNext/>
        <w:bidi w:val="1"/>
        <w:spacing w:after="120" w:before="240" w:line="360" w:lineRule="auto"/>
        <w:jc w:val="right"/>
      </w:pPr>
      <w:r>
        <w:rPr>
          <w:rFonts w:ascii="David" w:hAnsi="David" w:cs="David"/>
          <w:b/>
          <w:sz w:val="24"/>
          <w:u w:val="single"/>
          <w:rtl w:val="1"/>
          <w:szCs w:val="24"/>
          <w:bCs w:val="1"/>
        </w:rPr>
        <w:t>חוסר תום לב וחוסר ניקיון כפיים — מעורבות המבקש בניתוק קטינות מאביהן</w:t>
      </w:r>
    </w:p>
    <w:p>
      <w:pPr>
        <w:bidi w:val="1"/>
        <w:spacing w:after="80" w:line="360" w:lineRule="auto"/>
        <w:ind w:right="510" w:hanging="510"/>
        <w:jc w:val="both"/>
      </w:pPr>
      <w:r>
        <w:rPr>
          <w:rFonts w:ascii="David" w:hAnsi="David" w:cs="David"/>
          <w:b w:val="0"/>
          <w:sz w:val="24"/>
          <w:u w:val="none"/>
          <w:rtl w:val="1"/>
          <w:szCs w:val="24"/>
        </w:rPr>
        <w:t>19.</w:t>
        <w:tab/>
      </w:r>
      <w:r>
        <w:rPr>
          <w:rFonts w:ascii="David" w:hAnsi="David" w:cs="David"/>
          <w:b w:val="0"/>
          <w:sz w:val="24"/>
          <w:u w:val="none"/>
          <w:rtl w:val="1"/>
          <w:szCs w:val="24"/>
        </w:rPr>
        <w:t>והמבקש, המטיף בבקשתו לחשיבותה של "בנייה מחדש" של הקשר בין הקטינים לאמם, שכח לספר לבית המשפט הנכבד דבר מה. המבקש מעורב לעומקו בסכסוך משפחתי הנוגע לאחותה של המשיבה, ומסייע לה בניתוקן של בנותיה הקטינות מאביהן הביולוגי — וזאת בניגוד להחלטות שיפוטיות מפורשות, הקובעות כי אין מניעה לקיום מפגשים.</w:t>
      </w:r>
    </w:p>
    <w:p>
      <w:pPr>
        <w:bidi w:val="1"/>
        <w:spacing w:after="80" w:line="360" w:lineRule="auto"/>
        <w:ind w:right="510" w:hanging="510"/>
        <w:jc w:val="both"/>
      </w:pPr>
      <w:r>
        <w:rPr>
          <w:rFonts w:ascii="David" w:hAnsi="David" w:cs="David"/>
          <w:b w:val="0"/>
          <w:sz w:val="24"/>
          <w:u w:val="none"/>
          <w:rtl w:val="1"/>
          <w:szCs w:val="24"/>
        </w:rPr>
        <w:t>20.</w:t>
        <w:tab/>
      </w:r>
      <w:r>
        <w:rPr>
          <w:rFonts w:ascii="David" w:hAnsi="David" w:cs="David"/>
          <w:b w:val="0"/>
          <w:sz w:val="24"/>
          <w:u w:val="none"/>
          <w:rtl w:val="1"/>
          <w:szCs w:val="24"/>
        </w:rPr>
        <w:t>ודוק; המבקש תופס בפועל, הלכה למעשה, את תפקיד "דמות האב" עבור בנות האחות; הוא משקיע בהן משאבים כספיים, זמן ותשומת לב רבה — ובאותה נשימה ממש טוען בפני בית המשפט הנכבד לקשיים ולעומס בגידול ילדיו שלו. אין אדם נשמע בטענת עומס, שעה שהוא בוחר ליטול על עצמו, מרצונו החופשי, את הורותם של אחרים.</w:t>
      </w:r>
    </w:p>
    <w:p>
      <w:pPr>
        <w:bidi w:val="1"/>
        <w:spacing w:after="80" w:line="360" w:lineRule="auto"/>
        <w:ind w:right="510" w:hanging="510"/>
        <w:jc w:val="both"/>
      </w:pPr>
      <w:r>
        <w:rPr>
          <w:rFonts w:ascii="David" w:hAnsi="David" w:cs="David"/>
          <w:b w:val="0"/>
          <w:sz w:val="24"/>
          <w:u w:val="none"/>
          <w:rtl w:val="1"/>
          <w:szCs w:val="24"/>
        </w:rPr>
        <w:t>21.</w:t>
        <w:tab/>
      </w:r>
      <w:r>
        <w:rPr>
          <w:rFonts w:ascii="David" w:hAnsi="David" w:cs="David"/>
          <w:b w:val="0"/>
          <w:sz w:val="24"/>
          <w:u w:val="none"/>
          <w:rtl w:val="1"/>
          <w:szCs w:val="24"/>
        </w:rPr>
        <w:t>הנה כי כן, המבקש עותר לבית המשפט הנכבד לכפות טיפול שתכליתו המוצהרת "בניית הקשר" של הקטינים עם אמם, בעודו נוטל חלק פעיל בניתוקן של קטינות אחרות מאביהן. תחת מסווה זה פועל המבקש זה תקופה ארוכה בהסתרת מידע מן המשיבה, בעצימת עיניים ובמעורבות פעילה בריחוק משפחתי, ובמקביל מנהל נגדה הליכי סרק חוזרים ונשנים המכפישים את תפקודה כאם.</w:t>
      </w:r>
    </w:p>
    <w:p>
      <w:pPr>
        <w:bidi w:val="1"/>
        <w:spacing w:after="80" w:line="360" w:lineRule="auto"/>
        <w:ind w:right="510" w:hanging="510"/>
        <w:jc w:val="both"/>
      </w:pPr>
      <w:r>
        <w:rPr>
          <w:rFonts w:ascii="David" w:hAnsi="David" w:cs="David"/>
          <w:b w:val="0"/>
          <w:sz w:val="24"/>
          <w:u w:val="none"/>
          <w:rtl w:val="1"/>
          <w:szCs w:val="24"/>
        </w:rPr>
        <w:t>22.</w:t>
        <w:tab/>
      </w:r>
      <w:r>
        <w:rPr>
          <w:rFonts w:ascii="David" w:hAnsi="David" w:cs="David"/>
          <w:b w:val="0"/>
          <w:sz w:val="24"/>
          <w:u w:val="none"/>
          <w:rtl w:val="1"/>
          <w:szCs w:val="24"/>
        </w:rPr>
        <w:t>ודוק; אין המבקש יכול לאחוז את החבל בשני קצותיו. מי שהמפגשים בין הורה לילדו יקרים לליבו — לא יסייע בסיכולם במקום אחר.</w:t>
      </w:r>
    </w:p>
    <w:p>
      <w:pPr>
        <w:keepNext/>
        <w:bidi w:val="1"/>
        <w:spacing w:after="120" w:before="240" w:line="360" w:lineRule="auto"/>
        <w:jc w:val="right"/>
      </w:pPr>
      <w:r>
        <w:rPr>
          <w:rFonts w:ascii="David" w:hAnsi="David" w:cs="David"/>
          <w:b/>
          <w:sz w:val="24"/>
          <w:u w:val="single"/>
          <w:rtl w:val="1"/>
          <w:szCs w:val="24"/>
          <w:bCs w:val="1"/>
        </w:rPr>
        <w:t>לשם הזהירות בלבד — פגמים דיוניים בבקשה</w:t>
      </w:r>
    </w:p>
    <w:p>
      <w:pPr>
        <w:bidi w:val="1"/>
        <w:spacing w:after="80" w:line="360" w:lineRule="auto"/>
        <w:ind w:right="510" w:hanging="510"/>
        <w:jc w:val="both"/>
      </w:pPr>
      <w:r>
        <w:rPr>
          <w:rFonts w:ascii="David" w:hAnsi="David" w:cs="David"/>
          <w:b w:val="0"/>
          <w:sz w:val="24"/>
          <w:u w:val="none"/>
          <w:rtl w:val="1"/>
          <w:szCs w:val="24"/>
        </w:rPr>
        <w:t>23.</w:t>
        <w:tab/>
      </w:r>
      <w:r>
        <w:rPr>
          <w:rFonts w:ascii="David" w:hAnsi="David" w:cs="David"/>
          <w:b w:val="0"/>
          <w:sz w:val="24"/>
          <w:u w:val="none"/>
          <w:rtl w:val="1"/>
          <w:szCs w:val="24"/>
        </w:rPr>
        <w:t>ככל שלא צורף לבקשה תצהיר לאימות העובדות, כמצוות תקנה 50 לתקנות סדר הדין האזרחי, התשע"ט-2018, הרי שהבקשה נעדרת תשתית ראייתית כדבעי, ודין העובדות הנטענות בה להידחות ולו מטעם זה. ויוער כי הבקשה נסמכת, בין היתר, על "טבלת מפגשים" שנערכה בידי המבקש עצמו — מסמך שערכו הראייתי כערך הצהרת עורכו.</w:t>
      </w:r>
    </w:p>
    <w:p>
      <w:pPr>
        <w:bidi w:val="1"/>
        <w:spacing w:after="80" w:line="360" w:lineRule="auto"/>
        <w:ind w:right="510" w:hanging="510"/>
        <w:jc w:val="both"/>
      </w:pPr>
      <w:r>
        <w:rPr>
          <w:rFonts w:ascii="David" w:hAnsi="David" w:cs="David"/>
          <w:b w:val="0"/>
          <w:sz w:val="24"/>
          <w:u w:val="none"/>
          <w:rtl w:val="1"/>
          <w:szCs w:val="24"/>
        </w:rPr>
        <w:t>24.</w:t>
        <w:tab/>
      </w:r>
      <w:r>
        <w:rPr>
          <w:rFonts w:ascii="David" w:hAnsi="David" w:cs="David"/>
          <w:b w:val="0"/>
          <w:sz w:val="24"/>
          <w:u w:val="none"/>
          <w:rtl w:val="1"/>
          <w:szCs w:val="24"/>
        </w:rPr>
        <w:t>למעלה מן הצורך יצוין, כי בית המשפט הנכבד כבר עמד על העיקר בהחלטתו מיום 13.8.2026, בקבעו כי "חזקה כי אם הצדדים פנו למטפלת הם ישתפו פעולה עם הנחיותיה והמלצותיה". בית המשפט הנכבד נמנע, ובדין, מליתן סעדים כופים — ואין בבקשה דנא כדי להצדיק סטייה מכך.</w:t>
      </w:r>
    </w:p>
    <w:p>
      <w:pPr>
        <w:keepNext/>
        <w:bidi w:val="1"/>
        <w:spacing w:after="120" w:before="240" w:line="360" w:lineRule="auto"/>
        <w:jc w:val="right"/>
      </w:pPr>
      <w:r>
        <w:rPr>
          <w:rFonts w:ascii="David" w:hAnsi="David" w:cs="David"/>
          <w:b/>
          <w:sz w:val="24"/>
          <w:u w:val="single"/>
          <w:rtl w:val="1"/>
          <w:szCs w:val="24"/>
          <w:bCs w:val="1"/>
        </w:rPr>
        <w:t>סיכום</w:t>
      </w:r>
    </w:p>
    <w:p>
      <w:pPr>
        <w:bidi w:val="1"/>
        <w:spacing w:after="80" w:line="360" w:lineRule="auto"/>
        <w:ind w:right="510" w:hanging="510"/>
        <w:jc w:val="both"/>
      </w:pPr>
      <w:r>
        <w:rPr>
          <w:rFonts w:ascii="David" w:hAnsi="David" w:cs="David"/>
          <w:b w:val="0"/>
          <w:sz w:val="24"/>
          <w:u w:val="none"/>
          <w:rtl w:val="1"/>
          <w:szCs w:val="24"/>
        </w:rPr>
        <w:t>25.</w:t>
        <w:tab/>
      </w:r>
      <w:r>
        <w:rPr>
          <w:rFonts w:ascii="David" w:hAnsi="David" w:cs="David"/>
          <w:b w:val="0"/>
          <w:sz w:val="24"/>
          <w:u w:val="none"/>
          <w:rtl w:val="1"/>
          <w:szCs w:val="24"/>
        </w:rPr>
        <w:t>לשם הנוחות יובאו עיקרי הדברים בתמצית:</w:t>
      </w:r>
    </w:p>
    <w:p>
      <w:pPr>
        <w:keepNext w:val="0"/>
        <w:bidi w:val="1"/>
        <w:spacing w:after="80" w:before="0" w:line="360" w:lineRule="auto"/>
        <w:ind w:right="1020" w:hanging="510"/>
        <w:jc w:val="both"/>
      </w:pPr>
      <w:r>
        <w:rPr>
          <w:rFonts w:ascii="David" w:hAnsi="David" w:cs="David"/>
          <w:b w:val="0"/>
          <w:sz w:val="24"/>
          <w:u w:val="none"/>
          <w:rtl w:val="1"/>
          <w:szCs w:val="24"/>
        </w:rPr>
        <w:t>•</w:t>
        <w:tab/>
      </w:r>
      <w:r>
        <w:rPr>
          <w:rFonts w:ascii="David" w:hAnsi="David" w:cs="David"/>
          <w:b w:val="0"/>
          <w:sz w:val="24"/>
          <w:u w:val="none"/>
          <w:rtl w:val="1"/>
          <w:szCs w:val="24"/>
        </w:rPr>
        <w:t>הגב' קיבנסון בר און פגשה את המבקש לבדו, ולאחריו את הקטינים — והכל טרם שפגשה את המשיבה ולו פעם אחת. הליך שנפתח כך נעדר מלכתחילה את האיזון שהוא תנאי לעצם קיומו, ובמפגש עצמו זכתה המשיבה ליחס מעליב ושיפוטי ולכינוי "אלימה" בשל שימוש במונח דיוני.</w:t>
      </w:r>
    </w:p>
    <w:p>
      <w:pPr>
        <w:keepNext w:val="0"/>
        <w:bidi w:val="1"/>
        <w:spacing w:after="80" w:before="0" w:line="360" w:lineRule="auto"/>
        <w:ind w:right="1020" w:hanging="510"/>
        <w:jc w:val="both"/>
      </w:pPr>
      <w:r>
        <w:rPr>
          <w:rFonts w:ascii="David" w:hAnsi="David" w:cs="David"/>
          <w:b w:val="0"/>
          <w:sz w:val="24"/>
          <w:u w:val="none"/>
          <w:rtl w:val="1"/>
          <w:szCs w:val="24"/>
        </w:rPr>
        <w:t>•</w:t>
        <w:tab/>
      </w:r>
      <w:r>
        <w:rPr>
          <w:rFonts w:ascii="David" w:hAnsi="David" w:cs="David"/>
          <w:b w:val="0"/>
          <w:sz w:val="24"/>
          <w:u w:val="none"/>
          <w:rtl w:val="1"/>
          <w:szCs w:val="24"/>
        </w:rPr>
        <w:t>מטפלת אינה מומחית. דו"ח חסוי מפי מטפלת, שהמשיבה לא תראה ולא תחקור עליו, אינו סעד שניתן ליתנו, והוא מתנגש בחיסיון ובזכות להליך הוגן כאחד.</w:t>
      </w:r>
    </w:p>
    <w:p>
      <w:pPr>
        <w:keepNext w:val="0"/>
        <w:bidi w:val="1"/>
        <w:spacing w:after="80" w:before="0" w:line="360" w:lineRule="auto"/>
        <w:ind w:right="1020" w:hanging="510"/>
        <w:jc w:val="both"/>
      </w:pPr>
      <w:r>
        <w:rPr>
          <w:rFonts w:ascii="David" w:hAnsi="David" w:cs="David"/>
          <w:b w:val="0"/>
          <w:sz w:val="24"/>
          <w:u w:val="none"/>
          <w:rtl w:val="1"/>
          <w:szCs w:val="24"/>
        </w:rPr>
        <w:t>•</w:t>
        <w:tab/>
      </w:r>
      <w:r>
        <w:rPr>
          <w:rFonts w:ascii="David" w:hAnsi="David" w:cs="David"/>
          <w:b w:val="0"/>
          <w:sz w:val="24"/>
          <w:u w:val="none"/>
          <w:rtl w:val="1"/>
          <w:szCs w:val="24"/>
        </w:rPr>
        <w:t>הפרתם של הסדרי השהות מקורה בתוכניות המקבילות שקובע המבקש חד-צדדית. תרופתה — מתכונת שבתות ברורה ומחייבת ואיסור על תוכניות מקבילות, ולא חיובה של המשיבה.</w:t>
      </w:r>
    </w:p>
    <w:p>
      <w:pPr>
        <w:keepNext w:val="0"/>
        <w:bidi w:val="1"/>
        <w:spacing w:after="80" w:before="0" w:line="360" w:lineRule="auto"/>
        <w:ind w:right="1020" w:hanging="510"/>
        <w:jc w:val="both"/>
      </w:pPr>
      <w:r>
        <w:rPr>
          <w:rFonts w:ascii="David" w:hAnsi="David" w:cs="David"/>
          <w:b w:val="0"/>
          <w:sz w:val="24"/>
          <w:u w:val="none"/>
          <w:rtl w:val="1"/>
          <w:szCs w:val="24"/>
        </w:rPr>
        <w:t>•</w:t>
        <w:tab/>
      </w:r>
      <w:r>
        <w:rPr>
          <w:rFonts w:ascii="David" w:hAnsi="David" w:cs="David"/>
          <w:b w:val="0"/>
          <w:sz w:val="24"/>
          <w:u w:val="none"/>
          <w:rtl w:val="1"/>
          <w:szCs w:val="24"/>
        </w:rPr>
        <w:t>הבקשה הוגשה בחלוף למעלה מחודשיים מן האירועים שבבסיסה, בידי מי שסייע לניתוקן של קטינות מאביהן — ותכליתה האמיתית הכפשה, ולא טובת הקטינים.</w:t>
      </w:r>
    </w:p>
    <w:p>
      <w:pPr>
        <w:keepNext/>
        <w:bidi w:val="1"/>
        <w:spacing w:after="120" w:before="240" w:line="360" w:lineRule="auto"/>
        <w:jc w:val="right"/>
      </w:pPr>
      <w:r>
        <w:rPr>
          <w:rFonts w:ascii="David" w:hAnsi="David" w:cs="David"/>
          <w:b/>
          <w:sz w:val="24"/>
          <w:u w:val="single"/>
          <w:rtl w:val="1"/>
          <w:szCs w:val="24"/>
          <w:bCs w:val="1"/>
        </w:rPr>
        <w:t>הסעדים המבוקשים</w:t>
      </w:r>
    </w:p>
    <w:p>
      <w:pPr>
        <w:bidi w:val="1"/>
        <w:spacing w:after="80" w:line="360" w:lineRule="auto"/>
        <w:ind w:right="510" w:hanging="510"/>
        <w:jc w:val="both"/>
      </w:pPr>
      <w:r>
        <w:rPr>
          <w:rFonts w:ascii="David" w:hAnsi="David" w:cs="David"/>
          <w:b w:val="0"/>
          <w:sz w:val="24"/>
          <w:u w:val="none"/>
          <w:rtl w:val="1"/>
          <w:szCs w:val="24"/>
        </w:rPr>
        <w:t>26.</w:t>
        <w:tab/>
      </w:r>
      <w:r>
        <w:rPr>
          <w:rFonts w:ascii="David" w:hAnsi="David" w:cs="David"/>
          <w:b w:val="0"/>
          <w:sz w:val="24"/>
          <w:u w:val="none"/>
          <w:rtl w:val="1"/>
          <w:szCs w:val="24"/>
        </w:rPr>
        <w:t>אשר על כל המקובץ לעיל, מתבקש בזאת בית המשפט הנכבד לדחות את הבקשה על כל סעדיה, ולהורות כדלקמן:</w:t>
      </w:r>
    </w:p>
    <w:p>
      <w:pPr>
        <w:bidi w:val="1"/>
        <w:spacing w:after="80" w:line="360" w:lineRule="auto"/>
        <w:ind w:right="510" w:hanging="510"/>
        <w:jc w:val="both"/>
      </w:pPr>
      <w:r>
        <w:rPr>
          <w:rFonts w:ascii="David" w:hAnsi="David" w:cs="David"/>
          <w:b w:val="0"/>
          <w:sz w:val="24"/>
          <w:u w:val="none"/>
          <w:rtl w:val="1"/>
          <w:szCs w:val="24"/>
        </w:rPr>
        <w:t>א.</w:t>
        <w:tab/>
      </w:r>
      <w:r>
        <w:rPr>
          <w:rFonts w:ascii="David" w:hAnsi="David" w:cs="David"/>
          <w:b w:val="0"/>
          <w:sz w:val="24"/>
          <w:u w:val="none"/>
          <w:rtl w:val="1"/>
          <w:szCs w:val="24"/>
        </w:rPr>
        <w:t>להורות על בחינה מחודשת של זהות הגורם המתאם/המטפל, נוכח היעדר האובייקטיביות והפגיעה באמון שנוצרה במפגש עם הגב' קיבנסון בר און, ולהימנע מחיוב המשיבה להתייצב אצלה.</w:t>
      </w:r>
    </w:p>
    <w:p>
      <w:pPr>
        <w:bidi w:val="1"/>
        <w:spacing w:after="80" w:line="360" w:lineRule="auto"/>
        <w:ind w:right="510" w:hanging="510"/>
        <w:jc w:val="both"/>
      </w:pPr>
      <w:r>
        <w:rPr>
          <w:rFonts w:ascii="David" w:hAnsi="David" w:cs="David"/>
          <w:b w:val="0"/>
          <w:sz w:val="24"/>
          <w:u w:val="none"/>
          <w:rtl w:val="1"/>
          <w:szCs w:val="24"/>
        </w:rPr>
        <w:t>ב.</w:t>
        <w:tab/>
      </w:r>
      <w:r>
        <w:rPr>
          <w:rFonts w:ascii="David" w:hAnsi="David" w:cs="David"/>
          <w:b w:val="0"/>
          <w:sz w:val="24"/>
          <w:u w:val="none"/>
          <w:rtl w:val="1"/>
          <w:szCs w:val="24"/>
        </w:rPr>
        <w:t>לדחות את הבקשה להורות לגורם המטפל להעביר לבית המשפט הנכבד דו"ח חסוי שלא יועמד לעיון הצדדים.</w:t>
      </w:r>
    </w:p>
    <w:p>
      <w:pPr>
        <w:bidi w:val="1"/>
        <w:spacing w:after="80" w:line="360" w:lineRule="auto"/>
        <w:ind w:right="510" w:hanging="510"/>
        <w:jc w:val="both"/>
      </w:pPr>
      <w:r>
        <w:rPr>
          <w:rFonts w:ascii="David" w:hAnsi="David" w:cs="David"/>
          <w:b w:val="0"/>
          <w:sz w:val="24"/>
          <w:u w:val="none"/>
          <w:rtl w:val="1"/>
          <w:szCs w:val="24"/>
        </w:rPr>
        <w:t>ג.</w:t>
        <w:tab/>
      </w:r>
      <w:r>
        <w:rPr>
          <w:rFonts w:ascii="David" w:hAnsi="David" w:cs="David"/>
          <w:b w:val="0"/>
          <w:sz w:val="24"/>
          <w:u w:val="none"/>
          <w:rtl w:val="1"/>
          <w:szCs w:val="24"/>
        </w:rPr>
        <w:t>להורות על קביעת הסדרי שהות וחלוקת שבתות ברורה, מוגדרת ומחייבת, תוך איסור מפורש על מי מן הצדדים לקבוע לקטינים תוכניות המקבילות לזמני השהות של ההורה האחר.</w:t>
      </w:r>
    </w:p>
    <w:p>
      <w:pPr>
        <w:bidi w:val="1"/>
        <w:spacing w:after="80" w:line="360" w:lineRule="auto"/>
        <w:ind w:right="510" w:hanging="510"/>
        <w:jc w:val="both"/>
      </w:pPr>
      <w:r>
        <w:rPr>
          <w:rFonts w:ascii="David" w:hAnsi="David" w:cs="David"/>
          <w:b w:val="0"/>
          <w:sz w:val="24"/>
          <w:u w:val="none"/>
          <w:rtl w:val="1"/>
          <w:szCs w:val="24"/>
        </w:rPr>
        <w:t>ד.</w:t>
        <w:tab/>
      </w:r>
      <w:r>
        <w:rPr>
          <w:rFonts w:ascii="David" w:hAnsi="David" w:cs="David"/>
          <w:b w:val="0"/>
          <w:sz w:val="24"/>
          <w:u w:val="none"/>
          <w:rtl w:val="1"/>
          <w:szCs w:val="24"/>
        </w:rPr>
        <w:t>ליתן כל סעד נוסף שימצא בית המשפט הנכבד לנכון לשם הגנה על טובת הקטינים ולמניעתם של הליכי סרק נוספים.</w:t>
      </w:r>
    </w:p>
    <w:p>
      <w:pPr>
        <w:bidi w:val="1"/>
        <w:spacing w:after="80" w:line="360" w:lineRule="auto"/>
        <w:ind w:right="510" w:hanging="510"/>
        <w:jc w:val="both"/>
      </w:pPr>
      <w:r>
        <w:rPr>
          <w:rFonts w:ascii="David" w:hAnsi="David" w:cs="David"/>
          <w:b w:val="0"/>
          <w:sz w:val="24"/>
          <w:u w:val="none"/>
          <w:rtl w:val="1"/>
          <w:szCs w:val="24"/>
        </w:rPr>
        <w:t>ה.</w:t>
        <w:tab/>
      </w:r>
      <w:r>
        <w:rPr>
          <w:rFonts w:ascii="David" w:hAnsi="David" w:cs="David"/>
          <w:b w:val="0"/>
          <w:sz w:val="24"/>
          <w:u w:val="none"/>
          <w:rtl w:val="1"/>
          <w:szCs w:val="24"/>
        </w:rPr>
        <w:t>לחייב את המבקש בהוצאות הולמות בגין הגשת בקשת סרק, נעדרת עילה ונעדרת תום לב, תוך בזבוז זמן שיפוטי יקר, בתוספת הפרשי הצמדה וריבית ובשכ"ט עו"ד בצירוף מע"מ כחוק.</w:t>
      </w:r>
    </w:p>
    <w:p>
      <w:pPr>
        <w:keepNext w:val="0"/>
        <w:bidi w:val="1"/>
        <w:spacing w:after="280" w:before="200" w:line="360" w:lineRule="auto"/>
        <w:jc w:val="right"/>
      </w:pPr>
      <w:r>
        <w:rPr>
          <w:rFonts w:ascii="David" w:hAnsi="David" w:cs="David"/>
          <w:b/>
          <w:sz w:val="24"/>
          <w:u w:val="none"/>
          <w:rtl w:val="1"/>
          <w:szCs w:val="24"/>
          <w:bCs w:val="1"/>
        </w:rPr>
        <w:t>תצהיר המשיבה לאימות העובדות המפורטות בתגובה זו — מצ"ב ומסומן כנספח א'.</w:t>
      </w:r>
    </w:p>
    <w:p>
      <w:pPr>
        <w:keepNext w:val="0"/>
        <w:bidi w:val="1"/>
        <w:spacing w:after="40" w:before="360" w:line="240" w:lineRule="auto"/>
        <w:jc w:val="center"/>
      </w:pPr>
      <w:r>
        <w:rPr>
          <w:rFonts w:ascii="David" w:hAnsi="David" w:cs="David"/>
          <w:b w:val="0"/>
          <w:sz w:val="24"/>
          <w:u w:val="none"/>
          <w:rtl w:val="1"/>
          <w:szCs w:val="24"/>
        </w:rPr>
        <w:t>_________________________</w:t>
      </w:r>
    </w:p>
    <w:p>
      <w:pPr>
        <w:keepNext w:val="0"/>
        <w:bidi w:val="1"/>
        <w:spacing w:after="40" w:before="0" w:line="240" w:lineRule="auto"/>
        <w:jc w:val="center"/>
      </w:pPr>
      <w:r>
        <w:rPr>
          <w:rFonts w:ascii="David" w:hAnsi="David" w:cs="David"/>
          <w:b/>
          <w:sz w:val="24"/>
          <w:u w:val="none"/>
          <w:rtl w:val="1"/>
          <w:szCs w:val="24"/>
          <w:bCs w:val="1"/>
        </w:rPr>
        <w:t>עופר גזית, עו"ד</w:t>
      </w:r>
    </w:p>
    <w:p>
      <w:pPr>
        <w:keepNext w:val="0"/>
        <w:bidi w:val="1"/>
        <w:spacing w:after="40" w:before="0" w:line="240" w:lineRule="auto"/>
        <w:jc w:val="center"/>
      </w:pPr>
      <w:r>
        <w:rPr>
          <w:rFonts w:ascii="David" w:hAnsi="David" w:cs="David"/>
          <w:b w:val="0"/>
          <w:sz w:val="24"/>
          <w:u w:val="none"/>
          <w:rtl w:val="1"/>
          <w:szCs w:val="24"/>
        </w:rPr>
        <w:t>ב"כ המשיבה</w:t>
      </w:r>
    </w:p>
    <w:p>
      <w:r>
        <w:br w:type="page"/>
      </w:r>
    </w:p>
    <w:p>
      <w:pPr>
        <w:keepNext w:val="0"/>
        <w:bidi w:val="1"/>
        <w:spacing w:after="280" w:before="0" w:line="240" w:lineRule="auto"/>
        <w:jc w:val="center"/>
      </w:pPr>
      <w:r>
        <w:rPr>
          <w:rFonts w:ascii="David" w:hAnsi="David" w:cs="David"/>
          <w:b/>
          <w:sz w:val="30"/>
          <w:u w:val="single"/>
          <w:rtl w:val="1"/>
          <w:szCs w:val="30"/>
          <w:bCs w:val="1"/>
        </w:rPr>
        <w:t>תצהיר</w:t>
      </w:r>
    </w:p>
    <w:p>
      <w:pPr>
        <w:keepNext w:val="0"/>
        <w:bidi w:val="1"/>
        <w:spacing w:after="160" w:before="0" w:line="360" w:lineRule="auto"/>
        <w:jc w:val="both"/>
      </w:pPr>
      <w:r>
        <w:rPr>
          <w:rFonts w:ascii="David" w:hAnsi="David" w:cs="David"/>
          <w:b w:val="0"/>
          <w:sz w:val="24"/>
          <w:u w:val="none"/>
          <w:rtl w:val="1"/>
          <w:szCs w:val="24"/>
        </w:rPr>
        <w:t>אני הח"מ, _______________, ת.ז. _______________, לאחר שהוזהרתי כי עליי לומר את האמת וכי אהיה צפויה לעונשים הקבועים בחוק אם לא אעשה כן, מצהירה בזאת בכתב כדלקמן:</w:t>
      </w:r>
    </w:p>
    <w:p>
      <w:pPr>
        <w:bidi w:val="1"/>
        <w:spacing w:after="80" w:line="360" w:lineRule="auto"/>
        <w:ind w:right="510" w:hanging="510"/>
        <w:jc w:val="both"/>
      </w:pPr>
      <w:r>
        <w:rPr>
          <w:rFonts w:ascii="David" w:hAnsi="David" w:cs="David"/>
          <w:b w:val="0"/>
          <w:sz w:val="24"/>
          <w:u w:val="none"/>
          <w:rtl w:val="1"/>
          <w:szCs w:val="24"/>
        </w:rPr>
        <w:t>1.</w:t>
        <w:tab/>
      </w:r>
      <w:r>
        <w:rPr>
          <w:rFonts w:ascii="David" w:hAnsi="David" w:cs="David"/>
          <w:b w:val="0"/>
          <w:sz w:val="24"/>
          <w:u w:val="none"/>
          <w:rtl w:val="1"/>
          <w:szCs w:val="24"/>
        </w:rPr>
        <w:t>אני המשיבה בבקשה שבכותרת, ותצהירי זה ניתן בתמיכה לתגובה מטעמי לבקשת המבקש מיום 12.8.2026.</w:t>
      </w:r>
    </w:p>
    <w:p>
      <w:pPr>
        <w:bidi w:val="1"/>
        <w:spacing w:after="80" w:line="360" w:lineRule="auto"/>
        <w:ind w:right="510" w:hanging="510"/>
        <w:jc w:val="both"/>
      </w:pPr>
      <w:r>
        <w:rPr>
          <w:rFonts w:ascii="David" w:hAnsi="David" w:cs="David"/>
          <w:b w:val="0"/>
          <w:sz w:val="24"/>
          <w:u w:val="none"/>
          <w:rtl w:val="1"/>
          <w:szCs w:val="24"/>
        </w:rPr>
        <w:t>2.</w:t>
        <w:tab/>
      </w:r>
      <w:r>
        <w:rPr>
          <w:rFonts w:ascii="David" w:hAnsi="David" w:cs="David"/>
          <w:b w:val="0"/>
          <w:sz w:val="24"/>
          <w:u w:val="none"/>
          <w:rtl w:val="1"/>
          <w:szCs w:val="24"/>
        </w:rPr>
        <w:t>ביום 1.6.2026 התקיים מפגש ביחידת הסיוע בנוכחותי ובנוכחות המבקש ובאי כוחנו, ובמסגרתו גובשו הסכמות מסגרת בעניין זמני השהות ובעניין פנייה לגורם מטפל.</w:t>
      </w:r>
    </w:p>
    <w:p>
      <w:pPr>
        <w:bidi w:val="1"/>
        <w:spacing w:after="80" w:line="360" w:lineRule="auto"/>
        <w:ind w:right="510" w:hanging="510"/>
        <w:jc w:val="both"/>
      </w:pPr>
      <w:r>
        <w:rPr>
          <w:rFonts w:ascii="David" w:hAnsi="David" w:cs="David"/>
          <w:b w:val="0"/>
          <w:sz w:val="24"/>
          <w:u w:val="none"/>
          <w:rtl w:val="1"/>
          <w:szCs w:val="24"/>
        </w:rPr>
        <w:t>3.</w:t>
        <w:tab/>
      </w:r>
      <w:r>
        <w:rPr>
          <w:rFonts w:ascii="David" w:hAnsi="David" w:cs="David"/>
          <w:b w:val="0"/>
          <w:sz w:val="24"/>
          <w:u w:val="none"/>
          <w:rtl w:val="1"/>
          <w:szCs w:val="24"/>
        </w:rPr>
        <w:t>הובהר לי, ואף הוסכם, כי הפנייה לגב' ענבל קיבנסון בר און נועדה לשם טיפול משפחתי, ולא לשם עריכתה של חוות דעת או דיווח כלשהו לבית המשפט.</w:t>
      </w:r>
    </w:p>
    <w:p>
      <w:pPr>
        <w:bidi w:val="1"/>
        <w:spacing w:after="80" w:line="360" w:lineRule="auto"/>
        <w:ind w:right="510" w:hanging="510"/>
        <w:jc w:val="both"/>
      </w:pPr>
      <w:r>
        <w:rPr>
          <w:rFonts w:ascii="David" w:hAnsi="David" w:cs="David"/>
          <w:b w:val="0"/>
          <w:sz w:val="24"/>
          <w:u w:val="none"/>
          <w:rtl w:val="1"/>
          <w:szCs w:val="24"/>
        </w:rPr>
        <w:t>4.</w:t>
        <w:tab/>
      </w:r>
      <w:r>
        <w:rPr>
          <w:rFonts w:ascii="David" w:hAnsi="David" w:cs="David"/>
          <w:b w:val="0"/>
          <w:sz w:val="24"/>
          <w:u w:val="none"/>
          <w:rtl w:val="1"/>
          <w:szCs w:val="24"/>
        </w:rPr>
        <w:t>במפגש הראשון שנערך אצל הגב' קיבנסון בר און בנוכחותי נפגעתי קשות מהתנהלותה. תחת יצירת מרחב טיפולי בטוח ומאזן, זכיתי ליחס מעליב ושיפוטי ולהטחת האשמות פוגעניות. בין היתר, משעשיתי שימוש במונח "התובע", הוטח בפניי כי אני "אלימה".</w:t>
      </w:r>
    </w:p>
    <w:p>
      <w:pPr>
        <w:bidi w:val="1"/>
        <w:spacing w:after="80" w:line="360" w:lineRule="auto"/>
        <w:ind w:right="510" w:hanging="510"/>
        <w:jc w:val="both"/>
      </w:pPr>
      <w:r>
        <w:rPr>
          <w:rFonts w:ascii="David" w:hAnsi="David" w:cs="David"/>
          <w:b w:val="0"/>
          <w:sz w:val="24"/>
          <w:u w:val="none"/>
          <w:rtl w:val="1"/>
          <w:szCs w:val="24"/>
        </w:rPr>
        <w:t>5.</w:t>
        <w:tab/>
      </w:r>
      <w:r>
        <w:rPr>
          <w:rFonts w:ascii="David" w:hAnsi="David" w:cs="David"/>
          <w:b w:val="0"/>
          <w:sz w:val="24"/>
          <w:u w:val="none"/>
          <w:rtl w:val="1"/>
          <w:szCs w:val="24"/>
        </w:rPr>
        <w:t>נודע לי כי טרם המפגש עמי כבר קיים המבקש מפגש אישי עם הגב' קיבנסון בר און, וכי זו אף פגשה את הקטינים שלא בנוכחותי.</w:t>
      </w:r>
    </w:p>
    <w:p>
      <w:pPr>
        <w:bidi w:val="1"/>
        <w:spacing w:after="80" w:line="360" w:lineRule="auto"/>
        <w:ind w:right="510" w:hanging="510"/>
        <w:jc w:val="both"/>
      </w:pPr>
      <w:r>
        <w:rPr>
          <w:rFonts w:ascii="David" w:hAnsi="David" w:cs="David"/>
          <w:b w:val="0"/>
          <w:sz w:val="24"/>
          <w:u w:val="none"/>
          <w:rtl w:val="1"/>
          <w:szCs w:val="24"/>
        </w:rPr>
        <w:t>6.</w:t>
        <w:tab/>
      </w:r>
      <w:r>
        <w:rPr>
          <w:rFonts w:ascii="David" w:hAnsi="David" w:cs="David"/>
          <w:b w:val="0"/>
          <w:sz w:val="24"/>
          <w:u w:val="none"/>
          <w:rtl w:val="1"/>
          <w:szCs w:val="24"/>
        </w:rPr>
        <w:t>המבקש קובע לקטינים, באופן חד-צדדי וללא תיאום עמי, תוכניות המקבילות לזמני השהות שלי עמם, ובכך מעמיד אותם בקונפליקט נאמנות קשה ומסכל הלכה למעשה את קיומם של זמני השהות.</w:t>
      </w:r>
    </w:p>
    <w:p>
      <w:pPr>
        <w:bidi w:val="1"/>
        <w:spacing w:after="80" w:line="360" w:lineRule="auto"/>
        <w:ind w:right="510" w:hanging="510"/>
        <w:jc w:val="both"/>
      </w:pPr>
      <w:r>
        <w:rPr>
          <w:rFonts w:ascii="David" w:hAnsi="David" w:cs="David"/>
          <w:b w:val="0"/>
          <w:sz w:val="24"/>
          <w:u w:val="none"/>
          <w:rtl w:val="1"/>
          <w:szCs w:val="24"/>
        </w:rPr>
        <w:t>7.</w:t>
        <w:tab/>
      </w:r>
      <w:r>
        <w:rPr>
          <w:rFonts w:ascii="David" w:hAnsi="David" w:cs="David"/>
          <w:b w:val="0"/>
          <w:sz w:val="24"/>
          <w:u w:val="none"/>
          <w:rtl w:val="1"/>
          <w:szCs w:val="24"/>
        </w:rPr>
        <w:t>הקטינים הביעו בפניי, לא אחת, רצון במתכונת שוויונית, ברורה וקבועה של חלוקת השבתות בין ההורים.</w:t>
      </w:r>
    </w:p>
    <w:p>
      <w:pPr>
        <w:bidi w:val="1"/>
        <w:spacing w:after="80" w:line="360" w:lineRule="auto"/>
        <w:ind w:right="510" w:hanging="510"/>
        <w:jc w:val="both"/>
      </w:pPr>
      <w:r>
        <w:rPr>
          <w:rFonts w:ascii="David" w:hAnsi="David" w:cs="David"/>
          <w:b w:val="0"/>
          <w:sz w:val="24"/>
          <w:u w:val="none"/>
          <w:rtl w:val="1"/>
          <w:szCs w:val="24"/>
        </w:rPr>
        <w:t>8.</w:t>
        <w:tab/>
      </w:r>
      <w:r>
        <w:rPr>
          <w:rFonts w:ascii="David" w:hAnsi="David" w:cs="David"/>
          <w:b w:val="0"/>
          <w:sz w:val="24"/>
          <w:u w:val="none"/>
          <w:rtl w:val="1"/>
          <w:szCs w:val="24"/>
        </w:rPr>
        <w:t>המבקש מעורב בסכסוך משפחתי הנוגע לאחותי, ומסייע לה בניתוקן של בנותיה הקטינות מאביהן הביולוגי, וזאת על אף החלטות שיפוטיות שלפיהן אין מניעה לקיום מפגשים. המבקש משמש עבורן, בפועל, כדמות אב, ומשקיע בהן משאבים כספיים, זמן ותשומת לב, ובמקביל טוען לעומס בגידול ילדינו המשותפים.</w:t>
      </w:r>
    </w:p>
    <w:p>
      <w:pPr>
        <w:bidi w:val="1"/>
        <w:spacing w:after="80" w:line="360" w:lineRule="auto"/>
        <w:ind w:right="510" w:hanging="510"/>
        <w:jc w:val="both"/>
      </w:pPr>
      <w:r>
        <w:rPr>
          <w:rFonts w:ascii="David" w:hAnsi="David" w:cs="David"/>
          <w:b w:val="0"/>
          <w:sz w:val="24"/>
          <w:u w:val="none"/>
          <w:rtl w:val="1"/>
          <w:szCs w:val="24"/>
        </w:rPr>
        <w:t>9.</w:t>
        <w:tab/>
      </w:r>
      <w:r>
        <w:rPr>
          <w:rFonts w:ascii="David" w:hAnsi="David" w:cs="David"/>
          <w:b w:val="0"/>
          <w:sz w:val="24"/>
          <w:u w:val="none"/>
          <w:rtl w:val="1"/>
          <w:szCs w:val="24"/>
        </w:rPr>
        <w:t>זה שמי, זו חתימתי, ותוכן תצהירי לעיל אמת.</w:t>
      </w:r>
    </w:p>
    <w:p>
      <w:pPr>
        <w:keepNext w:val="0"/>
        <w:bidi w:val="1"/>
        <w:spacing w:after="40" w:before="320" w:line="240" w:lineRule="auto"/>
        <w:jc w:val="center"/>
      </w:pPr>
      <w:r>
        <w:rPr>
          <w:rFonts w:ascii="David" w:hAnsi="David" w:cs="David"/>
          <w:b w:val="0"/>
          <w:sz w:val="24"/>
          <w:u w:val="none"/>
          <w:rtl w:val="1"/>
          <w:szCs w:val="24"/>
        </w:rPr>
        <w:t>_________________________</w:t>
      </w:r>
    </w:p>
    <w:p>
      <w:pPr>
        <w:keepNext w:val="0"/>
        <w:bidi w:val="1"/>
        <w:spacing w:after="280" w:before="0" w:line="240" w:lineRule="auto"/>
        <w:jc w:val="center"/>
      </w:pPr>
      <w:r>
        <w:rPr>
          <w:rFonts w:ascii="David" w:hAnsi="David" w:cs="David"/>
          <w:b w:val="0"/>
          <w:sz w:val="24"/>
          <w:u w:val="none"/>
          <w:rtl w:val="1"/>
          <w:szCs w:val="24"/>
        </w:rPr>
        <w:t>המצהירה</w:t>
      </w:r>
    </w:p>
    <w:p>
      <w:pPr>
        <w:keepNext w:val="0"/>
        <w:bidi w:val="1"/>
        <w:spacing w:after="120" w:before="160" w:line="360" w:lineRule="auto"/>
        <w:jc w:val="right"/>
      </w:pPr>
      <w:r>
        <w:rPr>
          <w:rFonts w:ascii="David" w:hAnsi="David" w:cs="David"/>
          <w:b/>
          <w:sz w:val="24"/>
          <w:u w:val="single"/>
          <w:rtl w:val="1"/>
          <w:szCs w:val="24"/>
          <w:bCs w:val="1"/>
        </w:rPr>
        <w:t>אישור</w:t>
      </w:r>
    </w:p>
    <w:p>
      <w:pPr>
        <w:keepNext w:val="0"/>
        <w:bidi w:val="1"/>
        <w:spacing w:after="280" w:before="0" w:line="360" w:lineRule="auto"/>
        <w:jc w:val="both"/>
      </w:pPr>
      <w:r>
        <w:rPr>
          <w:rFonts w:ascii="David" w:hAnsi="David" w:cs="David"/>
          <w:b w:val="0"/>
          <w:sz w:val="24"/>
          <w:u w:val="none"/>
          <w:rtl w:val="1"/>
          <w:szCs w:val="24"/>
        </w:rPr>
        <w:t>אני הח"מ, עופר גזית, עו"ד (מ.ר. _______), מאשר בזאת כי ביום ____________ הופיעה בפניי במשרדי ברח' _______________ הגב' _______________, אשר זיהתה עצמה באמצעות ת.ז. מס' _______________, ולאחר שהזהרתיה כי עליה להצהיר את האמת וכי תהא צפויה לעונשים הקבועים בחוק אם לא תעשה כן, אישרה את נכונות תצהירה דלעיל וחתמה עליו בפניי.</w:t>
      </w:r>
    </w:p>
    <w:p>
      <w:pPr>
        <w:keepNext w:val="0"/>
        <w:bidi w:val="1"/>
        <w:spacing w:after="40" w:before="200" w:line="240" w:lineRule="auto"/>
        <w:jc w:val="center"/>
      </w:pPr>
      <w:r>
        <w:rPr>
          <w:rFonts w:ascii="David" w:hAnsi="David" w:cs="David"/>
          <w:b w:val="0"/>
          <w:sz w:val="24"/>
          <w:u w:val="none"/>
          <w:rtl w:val="1"/>
          <w:szCs w:val="24"/>
        </w:rPr>
        <w:t>_________________________</w:t>
      </w:r>
    </w:p>
    <w:p>
      <w:pPr>
        <w:keepNext w:val="0"/>
        <w:bidi w:val="1"/>
        <w:spacing w:after="40" w:before="0" w:line="240" w:lineRule="auto"/>
        <w:jc w:val="center"/>
      </w:pPr>
      <w:r>
        <w:rPr>
          <w:rFonts w:ascii="David" w:hAnsi="David" w:cs="David"/>
          <w:b/>
          <w:sz w:val="24"/>
          <w:u w:val="none"/>
          <w:rtl w:val="1"/>
          <w:szCs w:val="24"/>
          <w:bCs w:val="1"/>
        </w:rPr>
        <w:t>עופר גזית, עו"ד</w:t>
      </w:r>
    </w:p>
    <w:sectPr w:rsidR="00FC693F" w:rsidRPr="0006063C" w:rsidSect="00034616">
      <w:footerReference w:type="default" r:id="rId9"/>
      <w:pgSz w:w="11906" w:h="16838"/>
      <w:pgMar w:top="850" w:right="1417" w:bottom="646" w:left="1417" w:header="567" w:footer="34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David" w:hAnsi="David" w:cs="David"/>
        <w:b w:val="0"/>
        <w:sz w:val="20"/>
        <w:u w:val="none"/>
        <w:rtl w:val="1"/>
        <w:szCs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