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start"/>
            </w:pPr>
            <w:r>
              <w:rPr>
                <w:rFonts w:ascii="David" w:cs="David" w:eastAsia="David" w:hAnsi="David"/>
                <w:b/>
                <w:bCs/>
                <w:sz w:val="26"/>
                <w:szCs w:val="26"/>
                <w:rtl/>
              </w:rPr>
              <w:t xml:space="preserve">בבית המשפט לענייני משפחה בחיפה</w:t>
            </w:r>
          </w:p>
        </w:tc>
        <w:tc>
          <w:tcPr>
            <w:tcW w:type="dxa" w:w="4536"/>
            <w:tcBorders>
              <w:top w:val="none" w:color="FFFFFF" w:sz="0"/>
              <w:left w:val="none" w:color="FFFFFF" w:sz="0"/>
              <w:bottom w:val="none" w:color="FFFFFF" w:sz="0"/>
              <w:right w:val="none" w:color="FFFFFF" w:sz="0"/>
            </w:tcBorders>
            <w:tcMar>
              <w:top w:type="dxa" w:w="60"/>
              <w:left w:type="dxa" w:w="100"/>
              <w:bottom w:type="dxa" w:w="60"/>
              <w:right w:type="dxa" w:w="100"/>
            </w:tcMar>
          </w:tcPr>
          <w:p>
            <w:pPr>
              <w:bidi/>
              <w:spacing w:after="0" w:before="0" w:line="360" w:lineRule="auto"/>
              <w:jc w:val="end"/>
            </w:pPr>
            <w:r>
              <w:rPr>
                <w:rFonts w:ascii="David" w:cs="David" w:eastAsia="David" w:hAnsi="David"/>
                <w:b/>
                <w:bCs/>
                <w:sz w:val="26"/>
                <w:szCs w:val="26"/>
                <w:rtl/>
              </w:rPr>
              <w:t xml:space="preserve">מספר תיק: ______________</w:t>
            </w:r>
          </w:p>
        </w:tc>
      </w:tr>
    </w:tbl>
    <w:p>
      <w:pPr>
        <w:bidi/>
        <w:spacing w:after="0" w:before="120" w:line="360" w:lineRule="auto"/>
        <w:jc w:val="both"/>
      </w:pPr>
      <w:r>
        <w:rPr>
          <w:rFonts w:ascii="David" w:cs="David" w:eastAsia="David" w:hAnsi="David"/>
          <w:b/>
          <w:bCs/>
          <w:sz w:val="24"/>
          <w:szCs w:val="24"/>
          <w:rtl/>
        </w:rPr>
        <w:t xml:space="preserve">המבקשת:</w:t>
      </w:r>
      <w:r>
        <w:rPr>
          <w:rFonts w:ascii="David" w:cs="David" w:eastAsia="David" w:hAnsi="David"/>
          <w:b w:val="false"/>
          <w:bCs w:val="false"/>
          <w:sz w:val="24"/>
          <w:szCs w:val="24"/>
          <w:rtl/>
        </w:rPr>
        <w:t xml:space="preserve">	__________, ת.ז. __________, מרחוב __________, __________</w:t>
      </w:r>
    </w:p>
    <w:p>
      <w:pPr>
        <w:bidi/>
        <w:spacing w:after="0" w:before="0" w:line="360" w:lineRule="auto"/>
        <w:jc w:val="both"/>
      </w:pPr>
      <w:r>
        <w:rPr>
          <w:rFonts w:ascii="David" w:cs="David" w:eastAsia="David" w:hAnsi="David"/>
          <w:b w:val="false"/>
          <w:bCs w:val="false"/>
          <w:sz w:val="24"/>
          <w:szCs w:val="24"/>
          <w:rtl/>
        </w:rPr>
        <w:t xml:space="preserve">		ע"י ב"כ עו"ד __________, מ.ר. __________, מרחוב __________</w:t>
      </w:r>
    </w:p>
    <w:p>
      <w:pPr>
        <w:bidi/>
        <w:spacing w:after="60" w:before="60" w:line="360" w:lineRule="auto"/>
        <w:jc w:val="center"/>
      </w:pPr>
      <w:r>
        <w:rPr>
          <w:rFonts w:ascii="David" w:cs="David" w:eastAsia="David" w:hAnsi="David"/>
          <w:b/>
          <w:bCs/>
          <w:sz w:val="24"/>
          <w:szCs w:val="24"/>
          <w:rtl/>
        </w:rPr>
        <w:t xml:space="preserve">- נ ג ד -</w:t>
      </w:r>
    </w:p>
    <w:p>
      <w:pPr>
        <w:bidi/>
        <w:spacing w:after="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__________, ת.ז. __________, מרחוב __________, __________</w:t>
      </w:r>
    </w:p>
    <w:p>
      <w:pPr>
        <w:bidi/>
        <w:spacing w:after="160" w:before="160" w:line="360" w:lineRule="auto"/>
        <w:jc w:val="center"/>
      </w:pPr>
      <w:r>
        <w:rPr>
          <w:rFonts w:ascii="David" w:cs="David" w:eastAsia="David" w:hAnsi="David"/>
          <w:b/>
          <w:bCs/>
          <w:sz w:val="32"/>
          <w:szCs w:val="32"/>
          <w:u w:val="double"/>
          <w:rtl/>
        </w:rPr>
        <w:t xml:space="preserve">בקשה דחופה להארכת תוקפו של צו הגנה</w:t>
      </w:r>
    </w:p>
    <w:p>
      <w:pPr>
        <w:bidi/>
        <w:spacing w:after="140" w:before="0" w:line="360" w:lineRule="auto"/>
        <w:jc w:val="center"/>
      </w:pPr>
      <w:r>
        <w:rPr>
          <w:rFonts w:ascii="David" w:cs="David" w:eastAsia="David" w:hAnsi="David"/>
          <w:b/>
          <w:bCs/>
          <w:sz w:val="24"/>
          <w:szCs w:val="24"/>
          <w:rtl/>
        </w:rPr>
        <w:t xml:space="preserve">(לפי סעיף 5 לחוק למניעת אלימות במשפחה, התשנ"א–1991)</w:t>
      </w:r>
    </w:p>
    <w:p>
      <w:pPr>
        <w:bidi/>
        <w:spacing w:after="60" w:before="0" w:line="360" w:lineRule="auto"/>
        <w:jc w:val="both"/>
      </w:pPr>
      <w:r>
        <w:rPr>
          <w:rFonts w:ascii="David" w:cs="David" w:eastAsia="David" w:hAnsi="David"/>
          <w:b w:val="false"/>
          <w:bCs w:val="false"/>
          <w:sz w:val="24"/>
          <w:szCs w:val="24"/>
          <w:rtl/>
        </w:rPr>
        <w:t xml:space="preserve">בית המשפט הנכבד מתבקש בזאת להאריך בשלושה חודשים נוספים את תוקפו של צו ההגנה שניתן בעניינם של הצדדים ביום 12.3.2026, על כל תנאיו המגבילים, ולהורות כי יעמוד בתוקפו עד להכרעה בבקשה. ואלו נימוקי הבקשה:</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ביום 12.3.2026 נתן בית משפט נכבד זה צו הגנה בעניינם של הצדדים, לתקופה התחלתית בת 90 ימים, שתוקפו צפוי לפקוע ביום 15.6.2026 (להלן: "הצו"). העתק הצו מצ"ב כנספח א'.</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המבקשת עותרת להארכת תוקף הצו בשלושה חודשים נוספים, להבטחת שלומה וביטחונה ושל הקטינים. טרם חלפה התקופה הכוללת המותרת בדין: סעיף 5 לחוק למניעת אלימות במשפחה, התשנ"א–1991, מסמיך את בית המשפט להאריך את תוקפו של צו הגנה מפעם לפעם, ובלבד שהתקופה הכוללת לא תעלה על שישה חודשים. ההארכה המבוקשת מצויה אפוא בגדרי סמכותו של בית המשפט הנכבד, ואין היא טעונה נימוקים מיוחדים.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מאז מתן הצו נשמר שקט יחסי, והמשיב אינו מתגורר בדירת הצדדים מאז אמצע שנת 2025. ודוק; השקט שנשמר הוא פרי הצו עצמו, וההארכה נועדה לשמר יציבות זו ולמנוע הישנות של אירועי העבר, אשר הובילו להליך הפלילי ולצו המקורי.</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בין הצדדים אף מתנהל בבית משפט נכבד זה הליך למזונות קטינים, התלוי ועומד. קיומו של הליך פעיל בין הצדדים מחזק את הצורך בשמירת מסגרת יציבה ומוגנת עד להכרעה בו.</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אין בהארכת הצו כדי למנוע קשר בין המשיב לקטינים. המבקשת מאפשרת את קיום המפגשים בתיאום עם גורמי הרווחה ומרכז הקשר "פל"א", בהתאם למתווה שעוגן בפרוטוקול הדיון מיום 12.3.2026 (מצ"ב כנספח ב'). עד כה התקיימו ארבעה מפגשים בלבד; מפגש אחד בוטל על ידי המשיב ומפגש נוסף בוטל על ידי המבקשת. אין בכך כדי לגרוע מנכונות המבקשת להמשיך ולקיים את המתווה שנקבע.</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פקיעת הצו בעיתוי הנוכחי עלולה לעורר מחדש מתיחות ולפגוע בתחושת המוגנות של המבקשת, המטופלת במרכז "תפנית" לנפגעות אלימות במשפחה, והמטפלת בשלושה ילדים רכים בשנים.</w:t>
      </w:r>
    </w:p>
    <w:p>
      <w:pPr>
        <w:pStyle w:val="ListParagraph"/>
        <w:numPr>
          <w:ilvl w:val="0"/>
          <w:numId w:val="2"/>
        </w:numPr>
        <w:bidi/>
        <w:spacing w:after="120" w:before="0" w:line="360" w:lineRule="auto"/>
        <w:jc w:val="both"/>
      </w:pPr>
      <w:r>
        <w:rPr>
          <w:rFonts w:ascii="David" w:cs="David" w:eastAsia="David" w:hAnsi="David"/>
          <w:b w:val="false"/>
          <w:bCs w:val="false"/>
          <w:sz w:val="24"/>
          <w:szCs w:val="24"/>
          <w:rtl/>
        </w:rPr>
        <w:t xml:space="preserve">אשר על כן, מתבקש בית המשפט הנכבד להאריך את תוקף הצו כמבוקש; להורות כי יוותר על כנו עד להכרעה בבקשה; וכי כל יתר התנאים המגבילים שנקבעו בצו המקורי — לרבות האיסורים על הטרדה, בילוש ומעקב — יוסיפו לחול כלשונם לאורך תקופת ההארכה.</w:t>
      </w:r>
    </w:p>
    <w:p>
      <w:pPr>
        <w:bidi/>
        <w:spacing w:after="140" w:before="100" w:line="360" w:lineRule="auto"/>
        <w:jc w:val="both"/>
      </w:pPr>
      <w:r>
        <w:rPr>
          <w:rFonts w:ascii="David" w:cs="David" w:eastAsia="David" w:hAnsi="David"/>
          <w:b w:val="false"/>
          <w:bCs w:val="false"/>
          <w:sz w:val="24"/>
          <w:szCs w:val="24"/>
          <w:rtl/>
        </w:rPr>
        <w:t xml:space="preserve">הבקשה נתמכת בתצהיר המבקשת. מן הדין ומן הצדק להיעתר לה.</w:t>
      </w:r>
    </w:p>
    <w:p>
      <w:pPr>
        <w:bidi/>
        <w:spacing w:after="120" w:before="0" w:line="360" w:lineRule="auto"/>
        <w:jc w:val="start"/>
      </w:pPr>
      <w:r>
        <w:rPr>
          <w:rFonts w:ascii="David" w:cs="David" w:eastAsia="David" w:hAnsi="David"/>
          <w:b w:val="false"/>
          <w:bCs w:val="false"/>
          <w:sz w:val="24"/>
          <w:szCs w:val="24"/>
          <w:rtl/>
        </w:rPr>
        <w:t xml:space="preserve">תאריך: ______________</w:t>
      </w:r>
    </w:p>
    <w:p>
      <w:pPr>
        <w:bidi/>
        <w:spacing w:after="0" w:before="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המבקשת</w:t>
      </w:r>
    </w:p>
    <w:sectPr>
      <w:footerReference w:type="default" r:id="rId7"/>
      <w:pgSz w:w="11906" w:h="16838" w:orient="portrait"/>
      <w:pgMar w:top="850" w:right="1417" w:bottom="646" w:left="1417" w:header="454" w:footer="34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בקשה לקביעת גיל</dc:title>
  <dc:creator>Legal DOCX</dc:creator>
  <cp:lastModifiedBy>Un-named</cp:lastModifiedBy>
  <cp:revision>1</cp:revision>
  <dcterms:created xsi:type="dcterms:W3CDTF">2026-08-18T11:41:14.764Z</dcterms:created>
  <dcterms:modified xsi:type="dcterms:W3CDTF">2026-08-18T11:41:14.764Z</dcterms:modified>
</cp:coreProperties>
</file>

<file path=docProps/custom.xml><?xml version="1.0" encoding="utf-8"?>
<Properties xmlns="http://schemas.openxmlformats.org/officeDocument/2006/custom-properties" xmlns:vt="http://schemas.openxmlformats.org/officeDocument/2006/docPropsVTypes"/>
</file>