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w:t>
            </w:r>
          </w:p>
          <w:p>
            <w:pPr>
              <w:bidi/>
              <w:spacing w:line="300" w:lineRule="auto"/>
              <w:jc w:val="start"/>
            </w:pPr>
            <w:r>
              <w:rPr>
                <w:rFonts w:ascii="David" w:cs="David" w:eastAsia="David" w:hAnsi="David"/>
                <w:b w:val="false"/>
                <w:bCs w:val="false"/>
                <w:i w:val="false"/>
                <w:iCs w:val="false"/>
                <w:sz w:val="24"/>
                <w:szCs w:val="24"/>
                <w:rtl/>
              </w:rPr>
              <w:t xml:space="preserve">מרח' מצדה 9, מגדל ב.ס.ר 3, קומה 6</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w:t>
            </w:r>
          </w:p>
          <w:p>
            <w:pPr>
              <w:bidi/>
              <w:spacing w:line="300" w:lineRule="auto"/>
              <w:jc w:val="start"/>
            </w:pPr>
            <w:r>
              <w:rPr>
                <w:rFonts w:ascii="David" w:cs="David" w:eastAsia="David" w:hAnsi="David"/>
                <w:b w:val="false"/>
                <w:bCs w:val="false"/>
                <w:i w:val="false"/>
                <w:iCs w:val="false"/>
                <w:sz w:val="24"/>
                <w:szCs w:val="24"/>
                <w:rtl/>
              </w:rPr>
              <w:t xml:space="preserve">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320" w:before="3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w:t>
      </w:r>
    </w:p>
    <w:p>
      <w:pPr>
        <w:bidi/>
        <w:spacing w:after="80" w:before="0" w:line="360" w:lineRule="auto"/>
        <w:jc w:val="both"/>
      </w:pPr>
      <w:r>
        <w:rPr>
          <w:rFonts w:ascii="David" w:cs="David" w:eastAsia="David" w:hAnsi="David"/>
          <w:b/>
          <w:bCs/>
          <w:i w:val="false"/>
          <w:iCs w:val="false"/>
          <w:sz w:val="24"/>
          <w:szCs w:val="24"/>
          <w:rtl/>
        </w:rPr>
        <w:t xml:space="preserve">סכום התביעה: </w:t>
      </w:r>
      <w:r>
        <w:rPr>
          <w:rFonts w:ascii="David" w:cs="David" w:eastAsia="David" w:hAnsi="David"/>
          <w:b w:val="false"/>
          <w:bCs w:val="false"/>
          <w:i w:val="false"/>
          <w:iCs w:val="false"/>
          <w:sz w:val="24"/>
          <w:szCs w:val="24"/>
          <w:rtl/>
        </w:rPr>
        <w:t xml:space="preserve">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______________.</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______________ (45 ימים ממועד ההמצאה, תקנה 80(א)).</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200" w:before="320" w:line="360" w:lineRule="auto"/>
        <w:jc w:val="center"/>
      </w:pPr>
      <w:r>
        <w:rPr>
          <w:rFonts w:ascii="David" w:cs="David" w:eastAsia="David" w:hAnsi="David"/>
          <w:b/>
          <w:bCs/>
          <w:i w:val="false"/>
          <w:iCs w:val="false"/>
          <w:sz w:val="26"/>
          <w:szCs w:val="26"/>
          <w:u w:val="single"/>
          <w:rtl/>
        </w:rPr>
        <w:t xml:space="preserve">חלק שני - עיקר הטענות</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טענות מקדמיות</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בעמוד השער לכתב תביעתה מציינת התובעת כי תלויה ועומדת נגד הנתבעת תביעה לסילוק יד מן הדירה, ת"א 12718-06-26, "בגין אותה מסכת עובדתית". תקנה 24 לתקנות סדר הדין האזרחי, התשע"ט-2018 מחייבת לאחד בכתב תביעה אחד את כל עילות התביעה בשל אותה מסכת עובדתית, ותקנה 25(ב) מחייבת לכלול בו את כל הסעדים, זולת אם ניתנה רשות לפיצול. לא נטען ולא הוצג כי ניתנה רשות כזו. דין התביעה להימחק; למצער, מתבקש איחוד הדיון בשני ההליכים.</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היעדר עילה.</w:t>
      </w:r>
      <w:r>
        <w:rPr>
          <w:rFonts w:ascii="David" w:cs="David" w:eastAsia="David" w:hAnsi="David"/>
          <w:b w:val="false"/>
          <w:bCs w:val="false"/>
          <w:i w:val="false"/>
          <w:iCs w:val="false"/>
          <w:sz w:val="24"/>
          <w:szCs w:val="24"/>
          <w:rtl/>
        </w:rPr>
        <w:t xml:space="preserve"> התביעה נשענת על טענה אחת: כי ועדה מוסמכת קבעה שאין הנתבעת זכאית להחזיק בדירה כדיירת ממשיכה. ההחלטה עצמה לא צורפה, לא נומקה, לא ניתנה לאחר שימוע ולא הומצאה לנתבעת. בהיעדר החלטה תקפה, אין לתביעה על מה לעמוד.</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בתובענה במסלול דיון מהיר חייב בעל דין לצרף לכתב טענותיו את המסמכים הנוגעים לעניין (תקנה 79(א)(2)). התובעת לא צירפה את החלטת הוועדה; את בקשת הנתבעת להכרה כדיירת ממשיכה; כל הודעה לנתבעת; ולו התראה אחת מ"ההתראות החוזרות ונשנות" הנטענות בסעיף 2 לכתב התביעה; חוות דעת בדבר שווי דמי שימוש ראויים; והשוברים והקבלות שלפיהם גבתה כספים מן הנתבעת. מתבקש לקבוע כי לא תורשה התובעת להסתמך על מסמכים אלה כראיה מטעמה.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תצהיר פגום.</w:t>
      </w:r>
      <w:r>
        <w:rPr>
          <w:rFonts w:ascii="David" w:cs="David" w:eastAsia="David" w:hAnsi="David"/>
          <w:b w:val="false"/>
          <w:bCs w:val="false"/>
          <w:i w:val="false"/>
          <w:iCs w:val="false"/>
          <w:sz w:val="24"/>
          <w:szCs w:val="24"/>
          <w:rtl/>
        </w:rPr>
        <w:t xml:space="preserve"> התצהיר שצורף כנספח 6 נעדר ציון קריא של שם המצהיר ותפקידו, ומאמת באופן גורף את "כל האמור בסעיפים 1-23", לרבות טענות משפטיות ומסקנות, ללא אבחנה בין ידיעה אישית לידיעה שבאמונה (תקנה 178(א)).</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תמצית טענות ההגנה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הנתבעת אינה פולשת. היא בתו של הדייר החוזי, מר מנבר וונדימאג'ן ז"ל, שהתגורר בדירה מיום 8.8.1996 ועד לפטירתו ביום 16.2.2024. הנתבעת התגוררה עמו בדירה למעלה משלוש שנים בסמוך לפטירתו, וטיפלה בו בשנותיו האחרונות. משכך היא באה בגדר "דייר ממשיך" כהגדרתו בסעיף 1 לחוק זכויות הדייר בדיור הציבורי, התשנ"ח-1998.</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עצמה לא ראתה בנתבעת פולשת. בביקור שערכה בדירה ביום 3.7.2024, לאחר שידעה על הפטירה, רשמה נציגתה כי סטטוס החוזה "פעיל", כי שכר הדירה נטו הוא 221.19 ₪, כי הנחת המדרוג בתוקף עד 30.9.2024, וכי "חוב בתביעה" הוא 0.</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גבתה תשלומים בפועל: קבלה על שכר דירה מיום 23.7.2024 ששולמה, ותשלום נוסף של 2,911.01 ₪ ביום 27.3.2025. אף לפי הכרטסת שערכה התובעת, מספר חודשי אי-התשלום עומד על 12 מתוך למעלה מעשרים וארבעה חודשי התקופה הנטענת.</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החלטת הוועדה בטלה. היא ניתנה ללא הנמקה, ללא שימוע וללא המצאה, על יסוד תשתית עובדתית שגויה, ותוך יישום תנאי מחמיר מזה שקבע המחוקק. הנתבעת תוקפת אותה בתקיפה עקיפה.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הסכום הנתבע לא הוכח. לא הוצגה חוות דעת ולא כל אסמכתה חיצונית לשווי דמי שימוש ראויים בדירה. החיוב החודשי שגזרה התובעת לעצמה עומד על פי שלושה עשר משכר הדירה נטו שהיא עצמה קבעה באותה תקופה.</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טיעונים לעניין הסעד המבוקש</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דין התביעה להידחות. לחלופין, מתבקש בית המשפט לפטור את הנתבעת מהשבה לפי סעיף 2 לחוק עשיית עושר ולא במשפט, התשל"ט-1979, בשל נסיבות העושות את ההשבה בלתי צודקת. לחלופי חלופין, ככל שייקבע חיוב, יועמד על דמי השכירות המסובסדים שקבעה התובעת עצמה, בניכוי כל התשלומים ששולמו בפועל.</w:t>
      </w:r>
    </w:p>
    <w:p>
      <w:pPr>
        <w:keepNext/>
        <w:keepLines/>
        <w:bidi/>
        <w:spacing w:after="200" w:before="320" w:line="360" w:lineRule="auto"/>
        <w:jc w:val="center"/>
      </w:pPr>
      <w:r>
        <w:rPr>
          <w:rFonts w:ascii="David" w:cs="David" w:eastAsia="David" w:hAnsi="David"/>
          <w:b/>
          <w:bCs/>
          <w:i w:val="false"/>
          <w:iCs w:val="false"/>
          <w:sz w:val="26"/>
          <w:szCs w:val="26"/>
          <w:u w:val="single"/>
          <w:rtl/>
        </w:rPr>
        <w:t xml:space="preserve">חלק שלישי - טיעון עובדתי</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א. הרקע</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הדירה ברח' צה"ל 72/6 בפתח תקווה הושכרה לאביה המנוח של הנתבעת על פי חוזה מיום 29.8.1996, ומועד האכלוס הוא 8.8.1996. המנוח עלה ארצה מאתיופיה ביום 25.5.1991, ומצבו המשפחתי נרשם בטפסי התובעת כ"חד הורי". הוא נפטר ביום 16.2.2024. הנתבעת התגוררה עמו בדירה בתקופה העולה על שלוש שנים בסמוך לפטירתו, ונשאה בטיפול בו בשנותיו האחרונות, עת היה חולה ותלוי בזולת.</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נסמכת על "ביקורי מעגל" ועל הצהרות שהחתימה את המנוח, לפיהן התגורר בגפו. אלה מסמכים שהתובעת ניסחה, הדפיסה והחתימה עליהם קשיש עולה מאתיופיה, כשהרובריקות "באיזו שפה נערך הביקור" ו"נכח מתרגם" נותרו ריקות. באותם טפסים נרשם כי מספר ילדיו הוא "0" לצד מצב משפחתי "חד הורי", ותאריך לידתו נרשם כ-1.7.1943 בעוד תעודת הפטירה נוקבת ב-23.9.1943.</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ב. התנהלות התובעת לאחר הפטירה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בטופס "סיכום ביקור" שערכה (עמ' 38 לכתב התביעה) רשמה בהערות: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באותו טופס נרשם:</w:t>
      </w:r>
    </w:p>
    <w:p>
      <w:pPr>
        <w:keepLines/>
        <w:bidi/>
        <w:spacing w:after="160" w:before="80" w:line="300" w:lineRule="auto"/>
        <w:ind w:start="780" w:end="300"/>
        <w:jc w:val="both"/>
      </w:pPr>
      <w:r>
        <w:rPr>
          <w:rFonts w:ascii="David" w:cs="David" w:eastAsia="David" w:hAnsi="David"/>
          <w:b w:val="false"/>
          <w:bCs w:val="false"/>
          <w:i w:val="false"/>
          <w:iCs w:val="false"/>
          <w:sz w:val="24"/>
          <w:szCs w:val="24"/>
          <w:rtl/>
        </w:rPr>
        <w:t xml:space="preserve">"מצב אכלוס: שכירות";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"אמצעי תשלום: שובר"; "שכ"ד ברוטו: 1,456.68";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"הנחת מדרוג: מידרוג ארצי - מינימום";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"סה"כ גובה חוב: 1,355.71";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קבלה-חשבונית מס' 9007915735 על סך 1,355.71 ₪, בגין שכר דירה (קוד 101), לחודשים 02/2024 עד 07/2024. הקבלה הוצאה על שם הדייר החוזי המנוח ולחשבונו (חשבון 60347), כחמישה חודשים לאחר פטירתו. הסכום שולם.</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הקבלה מיום 23.7.2024 מצ"ב ומסומן כנספח א'.</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17.9.2024, לאחר המועד הנקוב בפרוטוקול הוועדה (2.9.2024), הוציאה התובעת שובר חדש מס' 9007925756, הפעם על שם הנתבעת, ובו נדרשה לשלם בגין אותם חודשים, בתוספת שניים, סך 21,730.81 ₪ תחת הכותרת "דמי שמוש ראויים" (קוד 103). כך, בגין החודשים 04/2024 עד 07/2024 לכל הפחות, חויבה הדירה פעמיים: פעם בשכר דירה ופעם בדמי שימוש ראויים.</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השובר מיום 17.9.2024 מצ"ב ומסומן כנספח ב'.</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27.3.2025 שילמה הנתבעת לתובעת 2,911.01 ₪ מחשבונה בבנק יהב, על פי שובר מס' 9007961452 שהתובעת שלחה אליה. הכסף לא הושב.</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אישור בנק יהב מיום 27.3.2025 מצ"ב ומסומן כנספח ג'.</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ג. פגמי החלטת הוועדה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נספח 4 לכתב התביעה אינו החלטה אלא טופס שרובו לא מולא: הפרק "נימוקים והמלצות" ריק; הפרק "החלטת הוועדה המחוזית" נושא שתי שורות בכתב יד ליד התאריך 2.9.24, ללא נימוק; השדה "מצ"ב החלטת ועדה מיום ___" ריק, ומסמך ההחלטה שאליו הוא מפנה לא הוצג; והעמוד השני של הפרוטוקול ריק.</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חובת ההנמקה קבועה בסעיף 2 לחוק לתיקון סדרי המינהל (החלטות והנמקות), התשי"ט-1958. החלטה הפוגעת בזכות לדיור, שאינה מנומקת ושלא קדם לה שימוע, אינה יכולה לעמוד. יצוין כי הרובריקה "למילוי ע"י סגן מנהל מרכז שרות" נושאת את התאריך 1.11.2023, בעוד שדות השם והחתימה ריקים; מועד זה מוקדם בלמעלה משלושה חודשים לפטירת הדייר החוזי.</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בטבלת ביקורי המעגל (עמ' 42) נרשם ביחס לביקור מיום 3.7.2024 כי הדייר החוזי "גר: כן", ארבעה חודשים וחצי לאחר פטירתו; ובאותה שורה, היחידה בטבלה שנערכה לאחר הפטירה, נרשם ביחס לדייר הממשיך "גר? כן". ביחס לביקור מיום 18.12.2023 נרשם בטופס התובעת (עמ' 37): "נקבע מספר פעמים ביקור בית, הדייר אומר אני אהיה בבית, לא נצא", והרובריקה "גר/ה בגפו/ה" נותרה ריקה; חרף זאת נרשם בטבלה, ביחס לאותו מועד, כי הדייר הממשיך "לא" גר בדירה.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בראש הטבלה נקבע התנאי "ביקורי מעגל לדייר הממשיך... ולא פחות מ-4 שנות מגורים רצופות", בעוד סעיף 1 לחוק זכויות הדייר בדיור הציבורי מסתפק בשלוש שנים. רשות אינה רשאית להחמיר בנוהל פנימי מעבר לקבוע בחקיקה ראשית; ומעבר לכך, הנוהל אינו מתווה דרך הוכחה כלשהי מלבד מסמכים שהתובעת עצמה עורכת ומחזיקה.</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ד. חומר הרווחה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מצוקת הדיור של הנתבעת מתועדת מזה למעלה מעשור. בשנת 2013 פנתה בכתב אל משרד הבינוי והשיכון בבקשה לפתרון דיור, ותיארה כי אין לה קורת גג משלה, כי היא מתגוררת בדירה שכורה בחסדי בני משפחה יחד עם שלושת ילדיה הקטנים, וכי מצבה הכלכלי קשה. הפנייה נמסרה באמצעות מרכז אלונים, מקבוצת מ.ג.ע.ר., שהוא גורם רווחה ושיקום, ואושרה בחותמתו כ"העתק נאמן למקור" ביום 28.6.2013.</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מכתב הפנייה מצ"ב ומסומן כנספח ד'.</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אין אפוא לפני בית המשפט מי שביקשה לנצל את פטירת אביה, אלא אישה שמצוקת הדיור שלה תועדה שנים רבות קודם לכן. רשות המחליטה בעניינה חייבת לשקול את מצבה, ובנספח 4 אין ולו התייחסות אחת למצבה, לילדיה, למצבה הכלכלי או הרפואי, או לחומר הרווחה שבידי המדינה.</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ה. גובה החיוב</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עותרת לסך 36,533.38 ₪, המורכב לפי הכרטסת (נספח 5) מקרן 34,110.37 ₪, הצמדה, ריבית ומע"מ. החיוב החודשי עומד על 2,948.85 ₪, בעוד התובעת עצמה קבעה באותה תקופה כי שכר הדירה הוא 1,456.68 ₪ ברוטו ו-221.19 ₪ נטו.</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הטוען לדמי שימוש ראויים נדרש להוכיח את שוויים, ולא צורפה חוות דעת, נתון השוואתי או אסמכתה חיצונית כלשהי. הכרטסת אינה ראיה לשווי שוק אלא רישום פנימי, ודי בכך שאותה תקופה נרשמה תחילה כשכר דירה (קוד 101) והומרה בדיעבד לדמי שימוש ראויים (קוד 103).</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את הריבית וההצמדה גובה התובעת מכוח הוראות חוזה השכירות (סעיף 5(ה) לנספח 1), ובה בעת טוענת כי לא מתקיימים בינה לבין הנתבעת יחסים חוזיים. ואשר לעתירה לחיוב עד למועד פסק הדין, בטענה כי נמנע ממנה להשכיר את הדירה לזכאי אחר: תביעת סילוק היד הוגשה בחודש יוני 2026, בחלוף למעלה משנתיים וארבעה חודשים מן הפטירה, ולאורך כל אותה תקופה הוסיפה התובעת לשלוח שוברים ולגבות תשלומים מן הנתבעת.</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ו. התייחסות לסעיפי כתב התביעה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1, 5, 6, 7, 13, 14 ו-17 אינו מוכחש ככל שהוא נוגע לזהות הצדדים והדירה, לסמכות ולמועד הפטירה, ומבלי לגרוע מטענת פיצול הסעדים.</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2, 8, 9, 15 ו-16 מוכחש. הנתבעת לא פלשה לדירה ואינה מחזיקה בה שלא כדין; היא בתו של הדייר החוזי והתגוררה עמו, כמפורט בפרק א'. לא נשלחו אליה התראות, ולא צורפה ולו אחת. הצהרות המנוח בדבר מגורים בגפו נוסחו בידי התובעת והוחתמו בנסיבות המפורטות בפרק א', ואין בהן כדי לחרוץ את זכותה של בתו.</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3, 4, 10, 11, 12, 18, 19, 21, 22 ו-23 מוכחש, מן הטעמים המפורטים בפרקים ב' עד ה'. אשר לסעיף 20, הנתבעת מאמצת את האסמכתאות שהתובעת הביאה: הדיור הציבורי נועד למי שידה אינה משגת לשאת בעלות מגורים בשוק הפרטי, ותכלית זו מכוונת אל הנתבעת.</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ז. סעד</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לאור כל האמור מתבקש בית המשפט הנכבד לדחות את התביעה; לחלופין, למוחקה מחמת פיצול סעדים או להורות על איחוד הדיון עם ת"א 12718-06-26; לחלופי חלופין, לפטור את הנתבעת מהשבה לפי סעיף 2 לחוק עשיית עושר ולא במשפט, התשל"ט-1979, או להעמיד את החיוב על דמי השכירות המסובסדים שקבעה התובעת עצמה, בניכוי התשלומים ששולמו. כן מתבקש לחייב את התובעת בהוצאות ובשכר טרחת עורך דין.</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רשימת נספחים</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א' - קבלת עמידר 9007915735 מיום 23.7.2024, שכ"ד 02-07/2024, 1,355.71 ₪.</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ב' - שובר עמידר 9007925756 מיום 17.9.2024, דמי שימוש ראויים, 21,730.81 ₪.</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ג' - אישור בנק יהב מיום 27.3.2025, תשלום 2,911.01 ₪ לעמידר.</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ד' - מכתב הנתבעת למשרד השיכון, בחותמת מרכז אלונים מיום 28.6.2013.</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ה' - בקשת הנתבעת להכרה כדיירת ממשיכה.</w:t>
      </w:r>
    </w:p>
    <w:p>
      <w:pPr>
        <w:bidi/>
        <w:spacing w:after="20" w:line="360" w:lineRule="auto"/>
        <w:ind w:start="480"/>
        <w:jc w:val="both"/>
      </w:pPr>
      <w:r>
        <w:rPr>
          <w:rFonts w:ascii="David" w:cs="David" w:eastAsia="David" w:hAnsi="David"/>
          <w:b w:val="false"/>
          <w:bCs w:val="false"/>
          <w:i w:val="false"/>
          <w:iCs w:val="false"/>
          <w:sz w:val="24"/>
          <w:szCs w:val="24"/>
          <w:rtl/>
        </w:rPr>
        <w:t xml:space="preserve">נספח ו' - ייפוי כוח.</w:t>
      </w:r>
    </w:p>
    <w:p>
      <w:pPr>
        <w:bidi/>
        <w:spacing w:after="0" w:before="4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320" w:before="3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(התובעת) נגד טדילה וונדימאג'ן (הנתבעת) | תצהיר ערוך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המפורטות בכתב ההגנה, להבדיל מן הטענות המשפטיות ומן המסקנות שבו, נכונות וידועות לי מידיעתי האישית; והעובדות הנוגעות למסמכי התובעת ידועות לי מתוך המסמכים עצמם, המצורפים לכתב התביעה.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התגוררתי עם אבי המנוח, מר מנבר וונדימאג'ן ז"ל, ת.ז. 303214381, בדירה ברח' צה"ל 72/6 בפתח תקווה, החל מיום __________ ועד לפטירתו ביום 16.2.2024, ובשנותיו האחרונות טיפלתי בו.</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נספחים א' עד ה' כמפורט ברשימת הנספחים שבכתב ההגנה.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4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תעודת זהות מספר 303214373, ולאחר שהזהרתיה כי עליה לומר את האמת ואת האמת בלבד, וכי תהיה צפויה לעונשים הקבועים בחוק אם לא תעשה כן, אישרה את נכונות הצהרתה דלעיל וחתמה עליה בפניי.</w:t>
      </w:r>
    </w:p>
    <w:p>
      <w:pPr>
        <w:bidi/>
        <w:spacing w:after="0" w:before="4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320" w:before="3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מועד המצאת כתב התביעה. המועד להגשת כתב הגנה במסלול דיון מהיר הוא 45 ימים ממועד ההמצאה (תקנה 80(א)), ולא 60 ימים כנקוב בהזמנה לדין שבכתב התביעה. אם המועד חלף, יש להגיש בקשה להארכת מועד במקביל.</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תקופת המגורים המשותפים בדירה: מועד תחילתה ומשכה, בפרק א' לכתב ההגנה ובסעיף 3 לתצהיר. הראיות התומכות: מרשם האוכלוסין, חשבונות ודברי דואר שנשלחו לכתובת הדירה, מסמכים רפואיים מתקופת מחלת האב, ותצהירי שכנים או בני משפחה. זהו היסוד העובדתי המרכזי להגדרת "דייר ממשיך".</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זהות הבת שנכחה בביקור מיום 3.7.2024. השם שנרשם בטופס התובעת אינו תואם במדויק את שם הנתבעת. יש לברר אם מדובר בנתבעת ששמה נרשם בשגגה או באחותה, ולהוסיף משפט מבהיר בפרק ב'.</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המלצה נפרד מגורם הרווחה, אם קיים: לצרפו כנספח ד'1, לציין שם ותפקיד עובד הרווחה ותאריך, ולהוסיף בפרק ד': "גורם הרווחה אף צירף את המלצתו כי יש להעניק לנתבעת פתרון דיור."</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ו') ובקשת ההכרה כדיירת ממשיכה (נספח ה'). אם הבקשה אינה מצויה בידי הנתבעת, יש לפרט בתצהיר את הנסיבות (תקנה 79(א)(2) סיפא).</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קבלות ואישורי תשלום נוספים, תכתובות מול עמידר ומסמכי רווחה שבידי הנתבעת: להוסיף לרשימת הנספחים ולתצהיר.</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להחליט על הגשת תביעה שכנגד להשבת הכספים שנגבו. תביעה שכנגד מוגשת יחד עם כתב ההגנה (תקנות 21(א) ו-80(ח)).</w:t>
      </w:r>
    </w:p>
    <w:p>
      <w:pPr>
        <w:tabs>
          <w:tab w:val="start" w:pos="480"/>
        </w:tabs>
        <w:bidi/>
        <w:spacing w:after="9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לשקול הגשת בקשה נפרדת לאיחוד הדיון עם ת"א 12718-06-26.</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2026-08-12T12:46:22.770Z</dcterms:created>
  <dcterms:modified xsi:type="dcterms:W3CDTF">2026-08-12T12:46:22.770Z</dcterms:modified>
</cp:coreProperties>
</file>

<file path=docProps/custom.xml><?xml version="1.0" encoding="utf-8"?>
<Properties xmlns="http://schemas.openxmlformats.org/officeDocument/2006/custom-properties" xmlns:vt="http://schemas.openxmlformats.org/officeDocument/2006/docPropsVTypes"/>
</file>