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3856"/>
      </w:tblGrid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בבית הדין הרבני האזורי ב__________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before="0" w:line="276" w:lineRule="auto"/>
              <w:jc w:val="end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תיק מס': </w:t>
            </w: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</w:t>
            </w:r>
          </w:p>
        </w:tc>
      </w:tr>
    </w:tbl>
    <w:p>
      <w:pPr>
        <w:pBdr>
          <w:bottom w:val="single" w:color="000000" w:sz="6" w:space="1"/>
        </w:pBdr>
        <w:bidi/>
        <w:spacing w:after="80" w:before="4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המבקש: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	______________ (שם הבעל), ת.ז. ______________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		ע"י ב"כ עוה"ד ______________ (להלן: "המבקש")</w:t>
      </w:r>
    </w:p>
    <w:p>
      <w:pPr>
        <w:bidi/>
        <w:spacing w:after="60" w:before="60" w:line="360" w:lineRule="auto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- נ ג ד -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המשיבה: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	______________ (שם האישה), ת.ז. ______________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			ע"י ב"כ עוה"ד ______________ (להלן: "המשיבה")</w:t>
      </w:r>
    </w:p>
    <w:p>
      <w:pPr>
        <w:pBdr>
          <w:bottom w:val="single" w:color="000000" w:sz="6" w:space="1"/>
        </w:pBdr>
        <w:bidi/>
        <w:spacing w:after="80" w:before="4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120" w:before="60" w:line="360" w:lineRule="auto"/>
        <w:jc w:val="center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תגובת המשיבה לבקשה למתן צו עיון בחומר חקירה משטרתי</w:t>
      </w:r>
    </w:p>
    <w:p>
      <w:pPr>
        <w:bidi/>
        <w:spacing w:after="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בית הדין הנכבד מתבקש לדחות את בקשת המבקש למתן צו למשטרת ישראל להעתקת חומר החקירה בתיק התלונה שבין הצדדים; ולחלופין – לדחות את העיון לשלב שלאחר הגשת כתב הגנה מטעמו. ואלה הנימוקים: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הבקשה מוקדמת ומהווה "מסע דיג"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המבקש טרם הגיש כתב הגנה בתביעת הגירושין שיזמה המשיבה, וטרם מסר גרסה עובדתית. חשיפת חומר החקירה בטרם ישיב לתביעה נועדה להתאים את גרסתו לראיות, ולא לחקר האמת.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אין למבקש זכות עיון בחומר חקירה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זכות זו נתונה לנאשם בלבד ורק לאחר הגשת כתב אישום (סעיף 74 לחוק סדר הדין הפלילי [נוסח משולב], התשמ"ב-1982). המבקש אינו נאשם ולא הוגש כתב אישום.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הצו אינו יכול להינתן בהליך זה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החומר מצוי בידי משטרת ישראל, שאינה צד להליך ולא נשמעה עמדתה, ומסירתו כפופה לחיסיון שלפי סעיפים 44–45 לפקודת הראיות [נוסח חדש], התשל"א-1971. על המבקש למצות תחילה את ההליכים הקבועים לכך מול רשויות אכיפת החוק.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פגיעה בפרטיות המשיבה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התיק כולל את הודעותיה ופרטים אישיים ואינטימיים; מסירתם למבקש, שהוא נשוא התלונה, פוגעת בפרטיותה לפי חוק הגנת הפרטיות, התשמ"א-1981.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היעדר רלוונטיות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הבקשה גורפת ואינה מפרטת אילו מסמכים מבוקשים ולאיזו פלוגתה בהליך הגירושין הם דרושים.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מכל מקום – מועד העיון טרם הגיע –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לערכאה שיקול דעת לדחות את העיון עד לאחר מסירת גרסת בעל הדין שכנגד, מקום בו חשיפה מוקדמת תאפשר התאמת עדויות (רע"א 4249/98 סוויסה נ' הכשרת הישוב) – קל וחומר בטרם הוגש כתב הגנה; ואף לפי דין תורה, "מדבר שקר תרחק".</w:t>
      </w:r>
    </w:p>
    <w:p>
      <w:pPr>
        <w:pStyle w:val="ListParagraph"/>
        <w:numPr>
          <w:ilvl w:val="0"/>
          <w:numId w:val="2"/>
        </w:numPr>
        <w:bidi/>
        <w:spacing w:after="4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אשר על כן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מתבקש בית הדין הנכבד לדחות את הבקשה; לחלופין – להורות כי העיון יידחה לשלב שלאחר הגשת כתב הגנה ותצהיר עדות ראשית ויוגבל למסמכים ספציפיים ורלוונטיים; ולחייב את המבקש בהוצאות ובשכ"ט עו"ד.</w:t>
      </w:r>
    </w:p>
    <w:tbl>
      <w:tblPr>
        <w:bidiVisual/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תאריך: ______________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_______________________</w:t>
            </w:r>
          </w:p>
          <w:p>
            <w:pPr>
              <w:bidi/>
              <w:spacing w:after="0" w:before="0" w:line="276" w:lineRule="auto"/>
              <w:jc w:val="center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______________, עו"ד – </w:t>
            </w: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ב"כ המשיבה</w:t>
            </w:r>
          </w:p>
        </w:tc>
      </w:tr>
    </w:tbl>
    <w:sectPr>
      <w:footerReference w:type="default" r:id="rId7"/>
      <w:pgSz w:w="11906" w:h="16838" w:orient="portrait"/>
      <w:pgMar w:top="1134" w:right="1417" w:bottom="1134" w:left="1417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- </w:t>
    </w:r>
    <w:r>
      <w:rPr>
        <w:rFonts w:ascii="David" w:cs="David" w:eastAsia="David" w:hAnsi="David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47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תגובת המשיבה לבקשה למתן צו עיון בחומר חקירה משטרתי</dc:title>
  <dc:creator>Legal DOCX</dc:creator>
  <cp:lastModifiedBy>Un-named</cp:lastModifiedBy>
  <cp:revision>1</cp:revision>
  <dcterms:created xsi:type="dcterms:W3CDTF">2026-08-23T00:00:00.000Z</dcterms:created>
  <dcterms:modified xsi:type="dcterms:W3CDTF">2026-08-23T00:00:00.000Z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